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65B" w:rsidRDefault="009345F9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导师姓名：</w:t>
      </w:r>
      <w:r w:rsidR="00027B9A">
        <w:rPr>
          <w:rFonts w:ascii="方正仿宋_GBK" w:eastAsia="方正仿宋_GBK" w:hAnsi="方正仿宋_GBK" w:cs="方正仿宋_GBK" w:hint="eastAsia"/>
          <w:sz w:val="32"/>
          <w:szCs w:val="32"/>
        </w:rPr>
        <w:t>陈蔚</w:t>
      </w:r>
    </w:p>
    <w:p w:rsidR="0075565B" w:rsidRDefault="009345F9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、照片：</w:t>
      </w:r>
    </w:p>
    <w:p w:rsidR="00027B9A" w:rsidRDefault="00027B9A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/>
          <w:noProof/>
          <w:sz w:val="32"/>
          <w:szCs w:val="32"/>
        </w:rPr>
        <w:drawing>
          <wp:inline distT="0" distB="0" distL="0" distR="0">
            <wp:extent cx="3476625" cy="2606945"/>
            <wp:effectExtent l="0" t="0" r="0" b="3175"/>
            <wp:docPr id="1" name="图片 1" descr="D:\B个人资料\陈蔚\陈蔚个人资料-更新\照片\办公室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个人资料\陈蔚\陈蔚个人资料-更新\照片\办公室照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786" cy="261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5B" w:rsidRDefault="009345F9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、职称：</w:t>
      </w:r>
      <w:r w:rsidR="00027B9A">
        <w:rPr>
          <w:rFonts w:ascii="方正仿宋_GBK" w:eastAsia="方正仿宋_GBK" w:hAnsi="方正仿宋_GBK" w:cs="方正仿宋_GBK" w:hint="eastAsia"/>
          <w:sz w:val="32"/>
          <w:szCs w:val="32"/>
        </w:rPr>
        <w:t>副研究员</w:t>
      </w:r>
    </w:p>
    <w:p w:rsidR="0075565B" w:rsidRDefault="009345F9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、主要研究领域和方向（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字以内）：</w:t>
      </w:r>
    </w:p>
    <w:p w:rsidR="009345F9" w:rsidRDefault="009345F9">
      <w:pPr>
        <w:rPr>
          <w:rFonts w:ascii="方正仿宋_GBK" w:eastAsia="方正仿宋_GBK" w:hAnsi="方正仿宋_GBK" w:cs="方正仿宋_GBK"/>
          <w:sz w:val="32"/>
          <w:szCs w:val="32"/>
        </w:rPr>
      </w:pPr>
      <w:r w:rsidRPr="009345F9">
        <w:rPr>
          <w:rFonts w:ascii="方正仿宋_GBK" w:eastAsia="方正仿宋_GBK" w:hAnsi="方正仿宋_GBK" w:cs="方正仿宋_GBK" w:hint="eastAsia"/>
          <w:sz w:val="32"/>
          <w:szCs w:val="32"/>
        </w:rPr>
        <w:t>团队以临床问题为出发点，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研究</w:t>
      </w:r>
      <w:r w:rsidRPr="009345F9">
        <w:rPr>
          <w:rFonts w:ascii="方正仿宋_GBK" w:eastAsia="方正仿宋_GBK" w:hAnsi="方正仿宋_GBK" w:cs="方正仿宋_GBK" w:hint="eastAsia"/>
          <w:sz w:val="32"/>
          <w:szCs w:val="32"/>
        </w:rPr>
        <w:t>泌尿系统肿瘤的诊断和治疗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的新方法</w:t>
      </w:r>
      <w:r w:rsidRPr="009345F9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研究</w:t>
      </w:r>
      <w:r w:rsidRPr="009345F9">
        <w:rPr>
          <w:rFonts w:ascii="方正仿宋_GBK" w:eastAsia="方正仿宋_GBK" w:hAnsi="方正仿宋_GBK" w:cs="方正仿宋_GBK" w:hint="eastAsia"/>
          <w:sz w:val="32"/>
          <w:szCs w:val="32"/>
        </w:rPr>
        <w:t>方向为泌尿系统肿瘤的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新生物标志物，以及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探索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肿瘤</w:t>
      </w:r>
      <w:r w:rsidRPr="009345F9">
        <w:rPr>
          <w:rFonts w:ascii="方正仿宋_GBK" w:eastAsia="方正仿宋_GBK" w:hAnsi="方正仿宋_GBK" w:cs="方正仿宋_GBK" w:hint="eastAsia"/>
          <w:sz w:val="32"/>
          <w:szCs w:val="32"/>
        </w:rPr>
        <w:t>进展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和转移的分子</w:t>
      </w:r>
      <w:r w:rsidRPr="009345F9">
        <w:rPr>
          <w:rFonts w:ascii="方正仿宋_GBK" w:eastAsia="方正仿宋_GBK" w:hAnsi="方正仿宋_GBK" w:cs="方正仿宋_GBK" w:hint="eastAsia"/>
          <w:sz w:val="32"/>
          <w:szCs w:val="32"/>
        </w:rPr>
        <w:t>机制，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主要是</w:t>
      </w:r>
      <w:r w:rsidRPr="009345F9">
        <w:rPr>
          <w:rFonts w:ascii="方正仿宋_GBK" w:eastAsia="方正仿宋_GBK" w:hAnsi="方正仿宋_GBK" w:cs="方正仿宋_GBK" w:hint="eastAsia"/>
          <w:sz w:val="32"/>
          <w:szCs w:val="32"/>
        </w:rPr>
        <w:t>转录和转录后调控的基础研究。</w:t>
      </w:r>
    </w:p>
    <w:p w:rsidR="0075565B" w:rsidRDefault="009345F9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、联系方式（邮箱）：</w:t>
      </w:r>
      <w:hyperlink r:id="rId7" w:history="1">
        <w:r w:rsidRPr="002001E7">
          <w:rPr>
            <w:rStyle w:val="a4"/>
            <w:rFonts w:ascii="方正仿宋_GBK" w:eastAsia="方正仿宋_GBK" w:hAnsi="方正仿宋_GBK" w:cs="方正仿宋_GBK"/>
            <w:sz w:val="32"/>
            <w:szCs w:val="32"/>
          </w:rPr>
          <w:t>chenw@njglyy.com</w:t>
        </w:r>
      </w:hyperlink>
    </w:p>
    <w:p w:rsidR="009345F9" w:rsidRDefault="009345F9">
      <w:pPr>
        <w:rPr>
          <w:rFonts w:ascii="方正仿宋_GBK" w:eastAsia="方正仿宋_GBK" w:hAnsi="方正仿宋_GBK" w:cs="方正仿宋_GBK"/>
          <w:sz w:val="32"/>
          <w:szCs w:val="32"/>
        </w:rPr>
      </w:pPr>
      <w:bookmarkStart w:id="0" w:name="_GoBack"/>
      <w:bookmarkEnd w:id="0"/>
    </w:p>
    <w:p w:rsidR="0075565B" w:rsidRDefault="009345F9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、承担的项目（近五年）：</w:t>
      </w:r>
    </w:p>
    <w:p w:rsidR="00027B9A" w:rsidRPr="00027B9A" w:rsidRDefault="00027B9A" w:rsidP="00027B9A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 w:rsidRPr="00027B9A">
        <w:rPr>
          <w:rFonts w:ascii="方正仿宋_GBK" w:eastAsia="方正仿宋_GBK" w:hAnsi="方正仿宋_GBK" w:cs="方正仿宋_GBK" w:hint="eastAsia"/>
          <w:sz w:val="32"/>
          <w:szCs w:val="32"/>
        </w:rPr>
        <w:t>1、国家自然科学基金面上项目，81972387，蛋白激酶GCN2调控基因表达的分子机制及其在肾癌靶向药耐药中的作用，55万，2020/01-2023/12，项目负责人。</w:t>
      </w:r>
    </w:p>
    <w:p w:rsidR="00027B9A" w:rsidRDefault="00027B9A" w:rsidP="00027B9A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 w:rsidRPr="00027B9A">
        <w:rPr>
          <w:rFonts w:ascii="方正仿宋_GBK" w:eastAsia="方正仿宋_GBK" w:hAnsi="方正仿宋_GBK" w:cs="方正仿宋_GBK" w:hint="eastAsia"/>
          <w:sz w:val="32"/>
          <w:szCs w:val="32"/>
        </w:rPr>
        <w:t>2、南京市卫生科技发展专项资金杰出青年基金项目，</w:t>
      </w:r>
      <w:r w:rsidRPr="00027B9A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JQX20002，压力小体调控网络促进肾癌进展和靶向治疗耐受，25万，2021/6-2023/12，项目负责人。</w:t>
      </w:r>
    </w:p>
    <w:p w:rsidR="00027B9A" w:rsidRPr="00027B9A" w:rsidRDefault="00027B9A" w:rsidP="00027B9A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75565B" w:rsidRDefault="009345F9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、代表性论文（近五年）：</w:t>
      </w:r>
    </w:p>
    <w:p w:rsidR="00373846" w:rsidRDefault="00373846" w:rsidP="00027B9A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1、</w:t>
      </w:r>
      <w:r w:rsidRPr="00373846">
        <w:rPr>
          <w:rFonts w:ascii="方正仿宋_GBK" w:eastAsia="方正仿宋_GBK" w:hAnsi="方正仿宋_GBK" w:cs="方正仿宋_GBK"/>
          <w:sz w:val="32"/>
          <w:szCs w:val="32"/>
        </w:rPr>
        <w:t xml:space="preserve">Jiang, B., Zhao, X., </w:t>
      </w:r>
      <w:r w:rsidRPr="00373846">
        <w:rPr>
          <w:rFonts w:ascii="方正仿宋_GBK" w:eastAsia="方正仿宋_GBK" w:hAnsi="方正仿宋_GBK" w:cs="方正仿宋_GBK"/>
          <w:b/>
          <w:sz w:val="32"/>
          <w:szCs w:val="32"/>
        </w:rPr>
        <w:t>Chen, W</w:t>
      </w:r>
      <w:r w:rsidRPr="00373846">
        <w:rPr>
          <w:rFonts w:ascii="方正仿宋_GBK" w:eastAsia="方正仿宋_GBK" w:hAnsi="方正仿宋_GBK" w:cs="方正仿宋_GBK"/>
          <w:sz w:val="32"/>
          <w:szCs w:val="32"/>
        </w:rPr>
        <w:t>., Diao, W., Ding, M., Qin, H., Li, B., Cao, W., Chen, W., Fu, Y., et al. (2022). Lysosomal protein transmembrane 5 promotes lung-specific metastasis by regulating BMPR1A lysosomal degradation. Nature communications 13, 4141.</w:t>
      </w:r>
    </w:p>
    <w:p w:rsidR="00027B9A" w:rsidRPr="00027B9A" w:rsidRDefault="00373846" w:rsidP="00027B9A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 w:rsidR="00027B9A" w:rsidRPr="00027B9A">
        <w:rPr>
          <w:rFonts w:ascii="方正仿宋_GBK" w:eastAsia="方正仿宋_GBK" w:hAnsi="方正仿宋_GBK" w:cs="方正仿宋_GBK" w:hint="eastAsia"/>
          <w:sz w:val="32"/>
          <w:szCs w:val="32"/>
        </w:rPr>
        <w:t>、</w:t>
      </w:r>
      <w:r w:rsidR="00027B9A" w:rsidRPr="00027B9A">
        <w:rPr>
          <w:rFonts w:ascii="方正仿宋_GBK" w:eastAsia="方正仿宋_GBK" w:hAnsi="方正仿宋_GBK" w:cs="方正仿宋_GBK" w:hint="eastAsia"/>
          <w:b/>
          <w:sz w:val="32"/>
          <w:szCs w:val="32"/>
        </w:rPr>
        <w:t>Wei Chen</w:t>
      </w:r>
      <w:r w:rsidR="00027B9A" w:rsidRPr="00027B9A">
        <w:rPr>
          <w:rFonts w:ascii="方正仿宋_GBK" w:eastAsia="方正仿宋_GBK" w:hAnsi="方正仿宋_GBK" w:cs="方正仿宋_GBK" w:hint="eastAsia"/>
          <w:sz w:val="32"/>
          <w:szCs w:val="32"/>
        </w:rPr>
        <w:t xml:space="preserve">#, Hui Yuan#, Wenmin Cao#, Tianwei Wang, Wei Chen, Hang Yu, Yao Fu, Bo Jiang, Hong Zhou, Hongqian Guo* and Xiaozhi Zhao*. Blocking interleukin-6 trans-signaling protects against renal fibrosis by suppressing STAT3 activation. Theranostics. 2019; </w:t>
      </w:r>
      <w:r w:rsidR="00027B9A" w:rsidRPr="00027B9A">
        <w:rPr>
          <w:rFonts w:ascii="方正仿宋_GBK" w:eastAsia="方正仿宋_GBK" w:hAnsi="方正仿宋_GBK" w:cs="方正仿宋_GBK"/>
          <w:sz w:val="32"/>
          <w:szCs w:val="32"/>
        </w:rPr>
        <w:t>9(14): 3980-3991.</w:t>
      </w:r>
    </w:p>
    <w:p w:rsidR="00027B9A" w:rsidRDefault="00373846" w:rsidP="00027B9A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 w:rsidR="00027B9A" w:rsidRPr="00027B9A">
        <w:rPr>
          <w:rFonts w:ascii="方正仿宋_GBK" w:eastAsia="方正仿宋_GBK" w:hAnsi="方正仿宋_GBK" w:cs="方正仿宋_GBK" w:hint="eastAsia"/>
          <w:sz w:val="32"/>
          <w:szCs w:val="32"/>
        </w:rPr>
        <w:t xml:space="preserve">、Jiang B#, </w:t>
      </w:r>
      <w:r w:rsidR="00027B9A" w:rsidRPr="00027B9A">
        <w:rPr>
          <w:rFonts w:ascii="方正仿宋_GBK" w:eastAsia="方正仿宋_GBK" w:hAnsi="方正仿宋_GBK" w:cs="方正仿宋_GBK" w:hint="eastAsia"/>
          <w:b/>
          <w:sz w:val="32"/>
          <w:szCs w:val="32"/>
        </w:rPr>
        <w:t>Chen W</w:t>
      </w:r>
      <w:r w:rsidR="00027B9A" w:rsidRPr="00027B9A">
        <w:rPr>
          <w:rFonts w:ascii="方正仿宋_GBK" w:eastAsia="方正仿宋_GBK" w:hAnsi="方正仿宋_GBK" w:cs="方正仿宋_GBK" w:hint="eastAsia"/>
          <w:sz w:val="32"/>
          <w:szCs w:val="32"/>
        </w:rPr>
        <w:t>#, Qin H#, Diao W, Li B, Cao W, Zhang Z, Qi W, Gao J, Chen M, Zhao X*, Guo H*. TOX3 inhibits cancer cell migration and invasion via transcriptional regulation of SNAI1 and SNAI2 in clear cell renal cell carcinoma. Cancer Lett. 2019 Feb 14</w:t>
      </w:r>
      <w:r w:rsidR="00027B9A" w:rsidRPr="00027B9A">
        <w:rPr>
          <w:rFonts w:ascii="方正仿宋_GBK" w:eastAsia="方正仿宋_GBK" w:hAnsi="方正仿宋_GBK" w:cs="方正仿宋_GBK"/>
          <w:sz w:val="32"/>
          <w:szCs w:val="32"/>
        </w:rPr>
        <w:t>;449:76-86.</w:t>
      </w:r>
    </w:p>
    <w:p w:rsidR="00373846" w:rsidRPr="00027B9A" w:rsidRDefault="00373846" w:rsidP="00373846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4、</w:t>
      </w:r>
      <w:r w:rsidRPr="00373846">
        <w:rPr>
          <w:rFonts w:ascii="方正仿宋_GBK" w:eastAsia="方正仿宋_GBK" w:hAnsi="方正仿宋_GBK" w:cs="方正仿宋_GBK"/>
          <w:sz w:val="32"/>
          <w:szCs w:val="32"/>
        </w:rPr>
        <w:t xml:space="preserve">Hang Yu#, Tingsheng Lin#, </w:t>
      </w:r>
      <w:r w:rsidRPr="00373846">
        <w:rPr>
          <w:rFonts w:ascii="方正仿宋_GBK" w:eastAsia="方正仿宋_GBK" w:hAnsi="方正仿宋_GBK" w:cs="方正仿宋_GBK"/>
          <w:b/>
          <w:sz w:val="32"/>
          <w:szCs w:val="32"/>
        </w:rPr>
        <w:t>Wei Chen</w:t>
      </w:r>
      <w:r w:rsidRPr="00373846">
        <w:rPr>
          <w:rFonts w:ascii="方正仿宋_GBK" w:eastAsia="方正仿宋_GBK" w:hAnsi="方正仿宋_GBK" w:cs="方正仿宋_GBK"/>
          <w:sz w:val="32"/>
          <w:szCs w:val="32"/>
        </w:rPr>
        <w:t xml:space="preserve">, Wenmin Cao, Chengwei Zhang, Tianwei Wang, Meng Ding, Sheng Zhao, </w:t>
      </w:r>
      <w:r w:rsidRPr="00373846">
        <w:rPr>
          <w:rFonts w:ascii="方正仿宋_GBK" w:eastAsia="方正仿宋_GBK" w:hAnsi="方正仿宋_GBK" w:cs="方正仿宋_GBK"/>
          <w:sz w:val="32"/>
          <w:szCs w:val="32"/>
        </w:rPr>
        <w:lastRenderedPageBreak/>
        <w:t>Hui Wei*, Hongqian Guo*, Xiaozhi Zhao*. Size and temporal-dependent efficacy of oltipraz-loaded PLGA nanoparticles for treatment of acute kidney injury and fibrosis. Biomaterials. 2019 Jul 16;219:119368.</w:t>
      </w:r>
    </w:p>
    <w:p w:rsidR="00027B9A" w:rsidRDefault="00302B4F" w:rsidP="00027B9A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</w:t>
      </w:r>
      <w:r w:rsidR="00027B9A" w:rsidRPr="00027B9A">
        <w:rPr>
          <w:rFonts w:ascii="方正仿宋_GBK" w:eastAsia="方正仿宋_GBK" w:hAnsi="方正仿宋_GBK" w:cs="方正仿宋_GBK" w:hint="eastAsia"/>
          <w:sz w:val="32"/>
          <w:szCs w:val="32"/>
        </w:rPr>
        <w:t xml:space="preserve">、Ge L#, </w:t>
      </w:r>
      <w:r w:rsidR="00027B9A" w:rsidRPr="00027B9A">
        <w:rPr>
          <w:rFonts w:ascii="方正仿宋_GBK" w:eastAsia="方正仿宋_GBK" w:hAnsi="方正仿宋_GBK" w:cs="方正仿宋_GBK" w:hint="eastAsia"/>
          <w:b/>
          <w:sz w:val="32"/>
          <w:szCs w:val="32"/>
        </w:rPr>
        <w:t>Chen W</w:t>
      </w:r>
      <w:r w:rsidR="00027B9A" w:rsidRPr="00027B9A">
        <w:rPr>
          <w:rFonts w:ascii="方正仿宋_GBK" w:eastAsia="方正仿宋_GBK" w:hAnsi="方正仿宋_GBK" w:cs="方正仿宋_GBK" w:hint="eastAsia"/>
          <w:sz w:val="32"/>
          <w:szCs w:val="32"/>
        </w:rPr>
        <w:t>#, Cao W, Liu G, Zhang Q, Zhuang J, Zhang M, Yang J, Guo S, Zhao X, Guo H*. GCN2 is a potential prognostic biomarker for human papillary renal cell carcinoma. Cancer Biomarkers. 2018;22(3):395-403.</w:t>
      </w:r>
    </w:p>
    <w:p w:rsidR="0075565B" w:rsidRDefault="0075565B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755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NTYzNjY2MDU3OTg1ZDhmYjAwNTYzMDI5MjM4ZjkifQ=="/>
  </w:docVars>
  <w:rsids>
    <w:rsidRoot w:val="0075565B"/>
    <w:rsid w:val="00027B9A"/>
    <w:rsid w:val="00302B4F"/>
    <w:rsid w:val="00373846"/>
    <w:rsid w:val="0075565B"/>
    <w:rsid w:val="009345F9"/>
    <w:rsid w:val="00BB2FBD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27B9A"/>
    <w:rPr>
      <w:sz w:val="18"/>
      <w:szCs w:val="18"/>
    </w:rPr>
  </w:style>
  <w:style w:type="character" w:customStyle="1" w:styleId="Char">
    <w:name w:val="批注框文本 Char"/>
    <w:basedOn w:val="a0"/>
    <w:link w:val="a3"/>
    <w:rsid w:val="00027B9A"/>
    <w:rPr>
      <w:kern w:val="2"/>
      <w:sz w:val="18"/>
      <w:szCs w:val="18"/>
    </w:rPr>
  </w:style>
  <w:style w:type="character" w:styleId="a4">
    <w:name w:val="Hyperlink"/>
    <w:basedOn w:val="a0"/>
    <w:rsid w:val="009345F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27B9A"/>
    <w:rPr>
      <w:sz w:val="18"/>
      <w:szCs w:val="18"/>
    </w:rPr>
  </w:style>
  <w:style w:type="character" w:customStyle="1" w:styleId="Char">
    <w:name w:val="批注框文本 Char"/>
    <w:basedOn w:val="a0"/>
    <w:link w:val="a3"/>
    <w:rsid w:val="00027B9A"/>
    <w:rPr>
      <w:kern w:val="2"/>
      <w:sz w:val="18"/>
      <w:szCs w:val="18"/>
    </w:rPr>
  </w:style>
  <w:style w:type="character" w:styleId="a4">
    <w:name w:val="Hyperlink"/>
    <w:basedOn w:val="a0"/>
    <w:rsid w:val="009345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henw@njgly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255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10</cp:revision>
  <dcterms:created xsi:type="dcterms:W3CDTF">2023-03-06T03:10:00Z</dcterms:created>
  <dcterms:modified xsi:type="dcterms:W3CDTF">2023-03-06T06:21:00Z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