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导师姓名：王珊珊</w:t>
      </w:r>
    </w:p>
    <w:p>
      <w:pPr>
        <w:numPr>
          <w:ilvl w:val="0"/>
          <w:numId w:val="0"/>
        </w:numPr>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2、照片：</w:t>
      </w:r>
    </w:p>
    <w:p>
      <w:pPr>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drawing>
          <wp:anchor distT="0" distB="0" distL="114300" distR="114300" simplePos="0" relativeHeight="251659264" behindDoc="0" locked="0" layoutInCell="1" allowOverlap="1">
            <wp:simplePos x="0" y="0"/>
            <wp:positionH relativeFrom="column">
              <wp:posOffset>829945</wp:posOffset>
            </wp:positionH>
            <wp:positionV relativeFrom="paragraph">
              <wp:posOffset>15240</wp:posOffset>
            </wp:positionV>
            <wp:extent cx="1322070" cy="1983105"/>
            <wp:effectExtent l="0" t="0" r="11430" b="17145"/>
            <wp:wrapTopAndBottom/>
            <wp:docPr id="1" name="图片 1" descr="1b5f77f218dd98af61958eb64876e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b5f77f218dd98af61958eb64876e77"/>
                    <pic:cNvPicPr>
                      <a:picLocks noChangeAspect="1"/>
                    </pic:cNvPicPr>
                  </pic:nvPicPr>
                  <pic:blipFill>
                    <a:blip r:embed="rId4"/>
                    <a:stretch>
                      <a:fillRect/>
                    </a:stretch>
                  </pic:blipFill>
                  <pic:spPr>
                    <a:xfrm>
                      <a:off x="0" y="0"/>
                      <a:ext cx="1322070" cy="1983105"/>
                    </a:xfrm>
                    <a:prstGeom prst="rect">
                      <a:avLst/>
                    </a:prstGeom>
                  </pic:spPr>
                </pic:pic>
              </a:graphicData>
            </a:graphic>
          </wp:anchor>
        </w:drawing>
      </w:r>
      <w:r>
        <w:rPr>
          <w:rFonts w:hint="eastAsia" w:ascii="方正仿宋_GBK" w:hAnsi="方正仿宋_GBK" w:eastAsia="方正仿宋_GBK" w:cs="方正仿宋_GBK"/>
          <w:sz w:val="32"/>
          <w:szCs w:val="32"/>
          <w:lang w:val="en-US" w:eastAsia="zh-CN"/>
        </w:rPr>
        <w:t>3、职称：副研究员</w:t>
      </w:r>
    </w:p>
    <w:p>
      <w:pP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32"/>
          <w:szCs w:val="32"/>
          <w:lang w:val="en-US" w:eastAsia="zh-CN"/>
        </w:rPr>
        <w:t>4、主要研究领域和方向（100字以内）：</w:t>
      </w:r>
      <w:r>
        <w:rPr>
          <w:rFonts w:hint="default" w:ascii="方正仿宋_GBK" w:hAnsi="方正仿宋_GBK" w:eastAsia="方正仿宋_GBK" w:cs="方正仿宋_GBK"/>
          <w:sz w:val="32"/>
          <w:szCs w:val="32"/>
          <w:lang w:val="en-US" w:eastAsia="zh-CN"/>
        </w:rPr>
        <w:t>围绕颗粒细胞功能与卵母细胞减数分裂开展基础与临床转化研究，创新性应用人工智能(AI)技术开展</w:t>
      </w:r>
      <w:r>
        <w:rPr>
          <w:rFonts w:hint="eastAsia" w:ascii="方正仿宋_GBK" w:hAnsi="方正仿宋_GBK" w:eastAsia="方正仿宋_GBK" w:cs="方正仿宋_GBK"/>
          <w:sz w:val="32"/>
          <w:szCs w:val="32"/>
          <w:lang w:val="en-US" w:eastAsia="zh-CN"/>
        </w:rPr>
        <w:t>人类</w:t>
      </w:r>
      <w:r>
        <w:rPr>
          <w:rFonts w:hint="default" w:ascii="方正仿宋_GBK" w:hAnsi="方正仿宋_GBK" w:eastAsia="方正仿宋_GBK" w:cs="方正仿宋_GBK"/>
          <w:sz w:val="32"/>
          <w:szCs w:val="32"/>
          <w:lang w:val="en-US" w:eastAsia="zh-CN"/>
        </w:rPr>
        <w:t>胚胎评估与优选，建立基于AI的胚胎全周期自动化评估</w:t>
      </w:r>
      <w:r>
        <w:rPr>
          <w:rFonts w:hint="eastAsia" w:ascii="方正仿宋_GBK" w:hAnsi="方正仿宋_GBK" w:eastAsia="方正仿宋_GBK" w:cs="方正仿宋_GBK"/>
          <w:sz w:val="32"/>
          <w:szCs w:val="32"/>
          <w:lang w:val="en-US" w:eastAsia="zh-CN"/>
        </w:rPr>
        <w:t>体系</w:t>
      </w:r>
      <w:r>
        <w:rPr>
          <w:rFonts w:hint="default" w:ascii="方正仿宋_GBK" w:hAnsi="方正仿宋_GBK" w:eastAsia="方正仿宋_GBK" w:cs="方正仿宋_GBK"/>
          <w:sz w:val="32"/>
          <w:szCs w:val="32"/>
          <w:lang w:val="en-US" w:eastAsia="zh-CN"/>
        </w:rPr>
        <w:t>，稳定临床</w:t>
      </w:r>
      <w:r>
        <w:rPr>
          <w:rFonts w:hint="eastAsia" w:ascii="方正仿宋_GBK" w:hAnsi="方正仿宋_GBK" w:eastAsia="方正仿宋_GBK" w:cs="方正仿宋_GBK"/>
          <w:sz w:val="32"/>
          <w:szCs w:val="32"/>
          <w:lang w:val="en-US" w:eastAsia="zh-CN"/>
        </w:rPr>
        <w:t>妊娠</w:t>
      </w:r>
      <w:r>
        <w:rPr>
          <w:rFonts w:hint="default" w:ascii="方正仿宋_GBK" w:hAnsi="方正仿宋_GBK" w:eastAsia="方正仿宋_GBK" w:cs="方正仿宋_GBK"/>
          <w:sz w:val="32"/>
          <w:szCs w:val="32"/>
          <w:lang w:val="en-US" w:eastAsia="zh-CN"/>
        </w:rPr>
        <w:t>率的同时</w:t>
      </w:r>
      <w:r>
        <w:rPr>
          <w:rFonts w:hint="eastAsia" w:ascii="方正仿宋_GBK" w:hAnsi="方正仿宋_GBK" w:eastAsia="方正仿宋_GBK" w:cs="方正仿宋_GBK"/>
          <w:sz w:val="32"/>
          <w:szCs w:val="32"/>
          <w:lang w:val="en-US" w:eastAsia="zh-CN"/>
        </w:rPr>
        <w:t>，</w:t>
      </w:r>
      <w:r>
        <w:rPr>
          <w:rFonts w:hint="default" w:ascii="方正仿宋_GBK" w:hAnsi="方正仿宋_GBK" w:eastAsia="方正仿宋_GBK" w:cs="方正仿宋_GBK"/>
          <w:sz w:val="32"/>
          <w:szCs w:val="32"/>
          <w:lang w:val="en-US" w:eastAsia="zh-CN"/>
        </w:rPr>
        <w:t xml:space="preserve">有效降低多胎妊娠。 </w:t>
      </w:r>
    </w:p>
    <w:p>
      <w:pPr>
        <w:rPr>
          <w:rFonts w:hint="default" w:ascii="方正仿宋_GBK" w:hAnsi="方正仿宋_GBK" w:eastAsia="方正仿宋_GBK" w:cs="方正仿宋_GBK"/>
          <w:sz w:val="22"/>
          <w:szCs w:val="22"/>
          <w:lang w:val="en-US" w:eastAsia="zh-CN"/>
        </w:rPr>
      </w:pPr>
      <w:r>
        <w:rPr>
          <w:rFonts w:hint="eastAsia" w:ascii="方正仿宋_GBK" w:hAnsi="方正仿宋_GBK" w:eastAsia="方正仿宋_GBK" w:cs="方正仿宋_GBK"/>
          <w:sz w:val="32"/>
          <w:szCs w:val="32"/>
          <w:lang w:val="en-US" w:eastAsia="zh-CN"/>
        </w:rPr>
        <w:t>5、联系方式（邮箱）：wss_19860820@sina.com</w:t>
      </w:r>
      <w:bookmarkStart w:id="0" w:name="_GoBack"/>
      <w:bookmarkEnd w:id="0"/>
    </w:p>
    <w:p>
      <w:pPr>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6、承担的项目（近五年）：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(1)国家自然科学基金青年项目，No. 81601277，富亮氨酸糖蛋白-1(LRG-1)激活TGF-β/Smad通路促进植入前胚胎发育的机制研究，2017.1-2019.12，主持，结题。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(2)南京市卫生科技发展专项资金项目(一般性课题):基于Time-lapse imaging应用人工智能结合可视化技术自动化评估胚胎以改善单囊胚移植妊娠结局的临床研究，YKK20064，2021.1-2023.12，主持，在研。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(3)江苏省卫生健康委医学科研项目(面上项目) ，No.H2019011，基于MicroRNA分子和Time-lapse imaging形态动力学指标人工智能辅助优选胚胎改善单胚胎移植妊娠结局的研究，2020.1-2022.12，主持，在研。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(4)2021年生殖医学中青年医生研究项目：基于Time-lapse imaging应用深度学习自动化联合评估胚胎发育以改善单囊胚移植妊娠结局的临床研究，2021.9-2023.8，主持，在研。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(5)南京鼓楼医院临床研究专项资金培育项目：基于Time-lapse imaging应用深度学习自动化联合评估胚胎发育以改善单囊胚移植妊娠结局的临床研究(2021-LCYJ-PY-08)，2021.7-2024.6，主持，在研。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(6)2019辅助生殖中青年医生研究项目，MicroRNA检测联合Time-lapse imaging技术及机器学习建模筛选优质胚胎以改善单胚胎移植妊娠结局的研究项目，2020/01-2021.06，主持，结题。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(7)王珊珊 孙海翔 周建军 基于 Time-lapse imaging应用深度学习自动化联合评估胚胎发育以改善单囊胚移植妊娠结局。2022年南京江北新区新技术引进奖一等奖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(8)王珊珊、招霞</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孙海翔</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一种基于时间参数和卵裂模式的分层筛选模型, 2021-03-26, 中国, 201510412577.8 (专利)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(9)</w:t>
      </w:r>
      <w:r>
        <w:rPr>
          <w:rFonts w:hint="eastAsia" w:ascii="Times New Roman" w:hAnsi="Times New Roman" w:eastAsia="宋体" w:cs="Times New Roman"/>
          <w:sz w:val="24"/>
          <w:szCs w:val="24"/>
          <w:lang w:val="en-US" w:eastAsia="zh-CN"/>
        </w:rPr>
        <w:t>王珊珊</w:t>
      </w:r>
      <w:r>
        <w:rPr>
          <w:rFonts w:hint="default" w:ascii="Times New Roman" w:hAnsi="Times New Roman" w:eastAsia="宋体" w:cs="Times New Roman"/>
          <w:sz w:val="24"/>
          <w:szCs w:val="24"/>
          <w:lang w:val="en-US" w:eastAsia="zh-CN"/>
        </w:rPr>
        <w:t>，一种具有自动换液功能的胚胎培养皿, 2020-10-16, 中国, ZL202020139430.2 (专利)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(10)王珊珊、陈磊、季悦，一种多功能精液处理台, 2020-04-10, 中国, ZL201921111703.6 (专利)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(11)王珊珊</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陈磊</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蒋益群</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一种新型胚胎培养皿, 2020-04-14, 中国, ZL201921115626.1 (专利)</w:t>
      </w:r>
    </w:p>
    <w:p>
      <w:pPr>
        <w:numPr>
          <w:ilvl w:val="0"/>
          <w:numId w:val="0"/>
        </w:numPr>
        <w:ind w:leftChars="0"/>
        <w:rPr>
          <w:rFonts w:hint="eastAsia" w:ascii="Times New Roman" w:hAnsi="Times New Roman" w:cs="Times New Roman"/>
          <w:i w:val="0"/>
          <w:iCs w:val="0"/>
          <w:sz w:val="24"/>
          <w:szCs w:val="24"/>
          <w:lang w:val="en-US" w:eastAsia="zh-CN"/>
        </w:rPr>
      </w:pPr>
    </w:p>
    <w:p>
      <w:pPr>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7、代表性论文（近五年）：</w:t>
      </w:r>
    </w:p>
    <w:p>
      <w:pPr>
        <w:numPr>
          <w:ilvl w:val="0"/>
          <w:numId w:val="2"/>
        </w:numPr>
        <w:rPr>
          <w:rFonts w:hint="default" w:ascii="Times New Roman" w:hAnsi="Times New Roman" w:cs="Times New Roman"/>
          <w:b w:val="0"/>
          <w:bCs/>
          <w:i w:val="0"/>
          <w:iCs w:val="0"/>
          <w:sz w:val="24"/>
          <w:szCs w:val="20"/>
          <w:lang w:val="en-US" w:eastAsia="zh-CN"/>
        </w:rPr>
      </w:pPr>
      <w:r>
        <w:rPr>
          <w:rFonts w:hint="default" w:ascii="Times New Roman" w:hAnsi="Times New Roman" w:cs="Times New Roman"/>
          <w:b w:val="0"/>
          <w:bCs/>
          <w:i w:val="0"/>
          <w:iCs w:val="0"/>
          <w:sz w:val="24"/>
          <w:szCs w:val="20"/>
          <w:lang w:val="en-US" w:eastAsia="zh-CN"/>
        </w:rPr>
        <w:t xml:space="preserve">Weihua Jiang#, Dong Li#, Lihua Zhu, Jie Wang, Linjun Chen, Ningyuan Zhang*, </w:t>
      </w:r>
      <w:r>
        <w:rPr>
          <w:rFonts w:hint="default" w:ascii="Times New Roman" w:hAnsi="Times New Roman" w:cs="Times New Roman"/>
          <w:b/>
          <w:bCs w:val="0"/>
          <w:i w:val="0"/>
          <w:iCs w:val="0"/>
          <w:sz w:val="24"/>
          <w:szCs w:val="20"/>
          <w:lang w:val="en-US" w:eastAsia="zh-CN"/>
        </w:rPr>
        <w:t>Shanshan Wang</w:t>
      </w:r>
      <w:r>
        <w:rPr>
          <w:rFonts w:hint="default" w:ascii="Times New Roman" w:hAnsi="Times New Roman" w:cs="Times New Roman"/>
          <w:b w:val="0"/>
          <w:bCs/>
          <w:i w:val="0"/>
          <w:iCs w:val="0"/>
          <w:sz w:val="24"/>
          <w:szCs w:val="20"/>
          <w:lang w:val="en-US" w:eastAsia="zh-CN"/>
        </w:rPr>
        <w:t>*. Elevated serum progesterone levels on the hCG trigger day have a negative impact on the live birth rate in the first fresh IVF-ET cycle.J Obstet Gynaecol, 2022, 2151345</w:t>
      </w:r>
    </w:p>
    <w:p>
      <w:pPr>
        <w:numPr>
          <w:ilvl w:val="0"/>
          <w:numId w:val="2"/>
        </w:numPr>
        <w:rPr>
          <w:rFonts w:hint="default" w:ascii="Times New Roman" w:hAnsi="Times New Roman" w:cs="Times New Roman"/>
          <w:b w:val="0"/>
          <w:bCs/>
          <w:i w:val="0"/>
          <w:iCs w:val="0"/>
          <w:sz w:val="24"/>
          <w:szCs w:val="20"/>
          <w:lang w:val="en-US" w:eastAsia="zh-CN"/>
        </w:rPr>
      </w:pPr>
      <w:r>
        <w:rPr>
          <w:rFonts w:hint="default" w:ascii="Times New Roman" w:hAnsi="Times New Roman" w:cs="Times New Roman"/>
          <w:b w:val="0"/>
          <w:bCs/>
          <w:i w:val="0"/>
          <w:iCs w:val="0"/>
          <w:sz w:val="24"/>
          <w:szCs w:val="20"/>
          <w:lang w:val="en-US" w:eastAsia="zh-CN"/>
        </w:rPr>
        <w:t xml:space="preserve">Linjun Chen#, Lihua Zhu#, Junshun Fang, Ningyuan Zhang, Dong Li, Xiaoqiang Sheng, Jidong Zhou, </w:t>
      </w:r>
      <w:r>
        <w:rPr>
          <w:rFonts w:hint="default" w:ascii="Times New Roman" w:hAnsi="Times New Roman" w:cs="Times New Roman"/>
          <w:b/>
          <w:bCs w:val="0"/>
          <w:i w:val="0"/>
          <w:iCs w:val="0"/>
          <w:sz w:val="24"/>
          <w:szCs w:val="20"/>
          <w:lang w:val="en-US" w:eastAsia="zh-CN"/>
        </w:rPr>
        <w:t>Shanshan Wang</w:t>
      </w:r>
      <w:r>
        <w:rPr>
          <w:rFonts w:hint="default" w:ascii="Times New Roman" w:hAnsi="Times New Roman" w:cs="Times New Roman"/>
          <w:b w:val="0"/>
          <w:bCs/>
          <w:i w:val="0"/>
          <w:iCs w:val="0"/>
          <w:sz w:val="24"/>
          <w:szCs w:val="20"/>
          <w:lang w:val="en-US" w:eastAsia="zh-CN"/>
        </w:rPr>
        <w:t>*, Jie Wang*. Circular RNA circFoxo3 Promotes Granulosa Cell Apoptosis Under Oxidative Stress Through Regulation of FOXO3 Protein. DNA Cell Biol. 2022 , 41(12):1026-1037</w:t>
      </w:r>
    </w:p>
    <w:p>
      <w:pPr>
        <w:numPr>
          <w:ilvl w:val="0"/>
          <w:numId w:val="0"/>
        </w:numPr>
        <w:rPr>
          <w:rFonts w:hint="default" w:ascii="Times New Roman" w:hAnsi="Times New Roman" w:eastAsia="楷体_GB2312" w:cs="Times New Roman"/>
          <w:i w:val="0"/>
          <w:iCs w:val="0"/>
          <w:sz w:val="24"/>
          <w:lang w:val="en-US" w:eastAsia="zh-CN"/>
        </w:rPr>
      </w:pPr>
      <w:r>
        <w:rPr>
          <w:rFonts w:hint="default" w:ascii="Times New Roman" w:hAnsi="Times New Roman" w:eastAsia="楷体_GB2312" w:cs="Times New Roman"/>
          <w:b w:val="0"/>
          <w:bCs w:val="0"/>
          <w:i w:val="0"/>
          <w:iCs w:val="0"/>
          <w:sz w:val="24"/>
          <w:lang w:val="en-US" w:eastAsia="zh-CN"/>
        </w:rPr>
        <w:t>(</w:t>
      </w:r>
      <w:r>
        <w:rPr>
          <w:rFonts w:hint="eastAsia" w:ascii="Times New Roman" w:hAnsi="Times New Roman" w:eastAsia="楷体_GB2312" w:cs="Times New Roman"/>
          <w:b w:val="0"/>
          <w:bCs w:val="0"/>
          <w:i w:val="0"/>
          <w:iCs w:val="0"/>
          <w:sz w:val="24"/>
          <w:lang w:val="en-US" w:eastAsia="zh-CN"/>
        </w:rPr>
        <w:t>3</w:t>
      </w:r>
      <w:r>
        <w:rPr>
          <w:rFonts w:hint="default" w:ascii="Times New Roman" w:hAnsi="Times New Roman" w:eastAsia="楷体_GB2312" w:cs="Times New Roman"/>
          <w:b w:val="0"/>
          <w:bCs w:val="0"/>
          <w:i w:val="0"/>
          <w:iCs w:val="0"/>
          <w:sz w:val="24"/>
          <w:lang w:val="en-US" w:eastAsia="zh-CN"/>
        </w:rPr>
        <w:t>)</w:t>
      </w:r>
      <w:r>
        <w:rPr>
          <w:rFonts w:hint="default" w:ascii="Times New Roman" w:hAnsi="Times New Roman" w:eastAsia="楷体_GB2312" w:cs="Times New Roman"/>
          <w:b/>
          <w:bCs/>
          <w:i w:val="0"/>
          <w:iCs w:val="0"/>
          <w:sz w:val="24"/>
          <w:lang w:val="it-IT"/>
        </w:rPr>
        <w:t>Wang Shanshan</w:t>
      </w:r>
      <w:r>
        <w:rPr>
          <w:rFonts w:hint="default" w:ascii="Times New Roman" w:hAnsi="Times New Roman" w:eastAsia="楷体_GB2312" w:cs="Times New Roman"/>
          <w:i w:val="0"/>
          <w:iCs w:val="0"/>
          <w:sz w:val="24"/>
          <w:lang w:val="it-IT"/>
        </w:rPr>
        <w:t>#; Zhou Cong#; Zhang Dan#; Chen Lei; Sun Haixiang*; A Deep</w:t>
      </w:r>
      <w:r>
        <w:rPr>
          <w:rFonts w:hint="default" w:ascii="Times New Roman" w:hAnsi="Times New Roman" w:eastAsia="楷体_GB2312" w:cs="Times New Roman"/>
          <w:i w:val="0"/>
          <w:iCs w:val="0"/>
          <w:sz w:val="24"/>
          <w:lang w:val="en-US" w:eastAsia="zh-CN"/>
        </w:rPr>
        <w:t xml:space="preserve"> </w:t>
      </w:r>
      <w:r>
        <w:rPr>
          <w:rFonts w:hint="default" w:ascii="Times New Roman" w:hAnsi="Times New Roman" w:eastAsia="楷体_GB2312" w:cs="Times New Roman"/>
          <w:i w:val="0"/>
          <w:iCs w:val="0"/>
          <w:sz w:val="24"/>
          <w:lang w:val="it-IT"/>
        </w:rPr>
        <w:t>Learning Framework Design for Automatic Blastocyst Evaluation With Multifocal</w:t>
      </w:r>
      <w:r>
        <w:rPr>
          <w:rFonts w:hint="default" w:ascii="Times New Roman" w:hAnsi="Times New Roman" w:eastAsia="楷体_GB2312" w:cs="Times New Roman"/>
          <w:i w:val="0"/>
          <w:iCs w:val="0"/>
          <w:sz w:val="24"/>
          <w:lang w:val="en-US" w:eastAsia="zh-CN"/>
        </w:rPr>
        <w:t xml:space="preserve"> </w:t>
      </w:r>
      <w:r>
        <w:rPr>
          <w:rFonts w:hint="default" w:ascii="Times New Roman" w:hAnsi="Times New Roman" w:eastAsia="楷体_GB2312" w:cs="Times New Roman"/>
          <w:i w:val="0"/>
          <w:iCs w:val="0"/>
          <w:sz w:val="24"/>
          <w:lang w:val="it-IT"/>
        </w:rPr>
        <w:t>Images, IEEE Access, 2021, 9: 18927-18934</w:t>
      </w:r>
      <w:r>
        <w:rPr>
          <w:rFonts w:hint="default" w:ascii="Times New Roman" w:hAnsi="Times New Roman" w:eastAsia="楷体_GB2312" w:cs="Times New Roman"/>
          <w:i w:val="0"/>
          <w:iCs w:val="0"/>
          <w:sz w:val="24"/>
          <w:lang w:val="en-US" w:eastAsia="zh-CN"/>
        </w:rPr>
        <w:t>.</w:t>
      </w:r>
    </w:p>
    <w:p>
      <w:pPr>
        <w:numPr>
          <w:ilvl w:val="0"/>
          <w:numId w:val="0"/>
        </w:numPr>
        <w:rPr>
          <w:rFonts w:hint="default" w:ascii="Times New Roman" w:hAnsi="Times New Roman" w:eastAsia="楷体_GB2312" w:cs="Times New Roman"/>
          <w:i w:val="0"/>
          <w:iCs w:val="0"/>
          <w:sz w:val="24"/>
          <w:lang w:val="en-US" w:eastAsia="zh-CN"/>
        </w:rPr>
      </w:pPr>
      <w:r>
        <w:rPr>
          <w:rFonts w:hint="default" w:ascii="Times New Roman" w:hAnsi="Times New Roman" w:eastAsia="楷体_GB2312" w:cs="Times New Roman"/>
          <w:b w:val="0"/>
          <w:bCs w:val="0"/>
          <w:i w:val="0"/>
          <w:iCs w:val="0"/>
          <w:sz w:val="24"/>
          <w:lang w:val="en-US" w:eastAsia="zh-CN"/>
        </w:rPr>
        <w:t>(4)</w:t>
      </w:r>
      <w:r>
        <w:rPr>
          <w:rFonts w:hint="default" w:ascii="Times New Roman" w:hAnsi="Times New Roman" w:eastAsia="楷体_GB2312" w:cs="Times New Roman"/>
          <w:b/>
          <w:bCs/>
          <w:i w:val="0"/>
          <w:iCs w:val="0"/>
          <w:sz w:val="24"/>
          <w:lang w:val="en-US" w:eastAsia="zh-CN"/>
        </w:rPr>
        <w:t>Shanshan Wang</w:t>
      </w:r>
      <w:r>
        <w:rPr>
          <w:rFonts w:hint="default" w:ascii="Times New Roman" w:hAnsi="Times New Roman" w:eastAsia="楷体_GB2312" w:cs="Times New Roman"/>
          <w:i w:val="0"/>
          <w:iCs w:val="0"/>
          <w:sz w:val="24"/>
          <w:lang w:val="en-US" w:eastAsia="zh-CN"/>
        </w:rPr>
        <w:t>#, Lei Chen, Yingchun Zhu, Weihua Jiang*. Characterization of microRNAs in spent culture medium associated with human embryo quality and development. Annals of Translational Medicine. Ann Transl Med. 2021;9(22):1648.</w:t>
      </w:r>
    </w:p>
    <w:p>
      <w:pPr>
        <w:numPr>
          <w:ilvl w:val="0"/>
          <w:numId w:val="0"/>
        </w:numPr>
        <w:rPr>
          <w:rFonts w:hint="default" w:ascii="Times New Roman" w:hAnsi="Times New Roman" w:eastAsia="楷体_GB2312" w:cs="Times New Roman"/>
          <w:i w:val="0"/>
          <w:iCs w:val="0"/>
          <w:sz w:val="24"/>
          <w:lang w:val="it-IT"/>
        </w:rPr>
      </w:pPr>
      <w:r>
        <w:rPr>
          <w:rFonts w:hint="default" w:ascii="Times New Roman" w:hAnsi="Times New Roman" w:eastAsia="楷体_GB2312" w:cs="Times New Roman"/>
          <w:b w:val="0"/>
          <w:bCs w:val="0"/>
          <w:i w:val="0"/>
          <w:iCs w:val="0"/>
          <w:sz w:val="24"/>
          <w:lang w:val="en-US" w:eastAsia="zh-CN"/>
        </w:rPr>
        <w:t>(5)</w:t>
      </w:r>
      <w:r>
        <w:rPr>
          <w:rFonts w:hint="default" w:ascii="Times New Roman" w:hAnsi="Times New Roman" w:eastAsia="楷体_GB2312" w:cs="Times New Roman"/>
          <w:b/>
          <w:bCs/>
          <w:i w:val="0"/>
          <w:iCs w:val="0"/>
          <w:sz w:val="24"/>
          <w:lang w:val="it-IT"/>
        </w:rPr>
        <w:t>Wang S</w:t>
      </w:r>
      <w:r>
        <w:rPr>
          <w:rFonts w:hint="default" w:ascii="Times New Roman" w:hAnsi="Times New Roman" w:eastAsia="楷体_GB2312" w:cs="Times New Roman"/>
          <w:b/>
          <w:bCs/>
          <w:i w:val="0"/>
          <w:iCs w:val="0"/>
          <w:sz w:val="24"/>
          <w:lang w:val="en-US" w:eastAsia="zh-CN"/>
        </w:rPr>
        <w:t>#*</w:t>
      </w:r>
      <w:r>
        <w:rPr>
          <w:rFonts w:hint="default" w:ascii="Times New Roman" w:hAnsi="Times New Roman" w:eastAsia="楷体_GB2312" w:cs="Times New Roman"/>
          <w:i w:val="0"/>
          <w:iCs w:val="0"/>
          <w:sz w:val="24"/>
          <w:lang w:val="it-IT"/>
        </w:rPr>
        <w:t>, Wang J, Jiang Y, Jiang W. Association between blood lipid level and embryo quality during in vitro fertilization. Medicine (Baltimore). 2020, 99(13):e19665.</w:t>
      </w:r>
    </w:p>
    <w:p>
      <w:pPr>
        <w:numPr>
          <w:ilvl w:val="0"/>
          <w:numId w:val="0"/>
        </w:numPr>
        <w:rPr>
          <w:rFonts w:hint="default" w:ascii="Times New Roman" w:hAnsi="Times New Roman" w:eastAsia="楷体_GB2312" w:cs="Times New Roman"/>
          <w:i w:val="0"/>
          <w:iCs w:val="0"/>
          <w:sz w:val="24"/>
          <w:lang w:val="it-IT"/>
        </w:rPr>
      </w:pPr>
      <w:r>
        <w:rPr>
          <w:rFonts w:hint="default" w:ascii="Times New Roman" w:hAnsi="Times New Roman" w:eastAsia="楷体_GB2312" w:cs="Times New Roman"/>
          <w:b w:val="0"/>
          <w:bCs w:val="0"/>
          <w:i w:val="0"/>
          <w:iCs w:val="0"/>
          <w:sz w:val="24"/>
          <w:lang w:val="en-US" w:eastAsia="zh-CN"/>
        </w:rPr>
        <w:t>(6)</w:t>
      </w:r>
      <w:r>
        <w:rPr>
          <w:rFonts w:hint="default" w:ascii="Times New Roman" w:hAnsi="Times New Roman" w:eastAsia="楷体_GB2312" w:cs="Times New Roman"/>
          <w:b/>
          <w:bCs/>
          <w:i w:val="0"/>
          <w:iCs w:val="0"/>
          <w:sz w:val="24"/>
          <w:lang w:val="it-IT"/>
        </w:rPr>
        <w:t>Shanshan Wang</w:t>
      </w:r>
      <w:r>
        <w:rPr>
          <w:rFonts w:hint="default" w:ascii="Times New Roman" w:hAnsi="Times New Roman" w:eastAsia="楷体_GB2312" w:cs="Times New Roman"/>
          <w:b/>
          <w:bCs/>
          <w:i w:val="0"/>
          <w:iCs w:val="0"/>
          <w:sz w:val="24"/>
          <w:lang w:val="en-US" w:eastAsia="zh-CN"/>
        </w:rPr>
        <w:t>#*</w:t>
      </w:r>
      <w:r>
        <w:rPr>
          <w:rFonts w:hint="default" w:ascii="Times New Roman" w:hAnsi="Times New Roman" w:eastAsia="楷体_GB2312" w:cs="Times New Roman"/>
          <w:i w:val="0"/>
          <w:iCs w:val="0"/>
          <w:sz w:val="24"/>
          <w:lang w:val="it-IT"/>
        </w:rPr>
        <w:t>, Chen Lei, Fang Junshun, Jiang Weihua, Zhang Nningyuan.Comparison of the pregnancy and obstetric outcomes between single cleavage-stage embryo transfer and single blastocyst transfer by time-lapse selection of embryos.Gynecol Endocrinol, Gynecol Endocrinol</w:t>
      </w:r>
      <w:r>
        <w:rPr>
          <w:rFonts w:hint="default" w:ascii="Times New Roman" w:hAnsi="Times New Roman" w:eastAsia="楷体_GB2312" w:cs="Times New Roman"/>
          <w:i w:val="0"/>
          <w:iCs w:val="0"/>
          <w:sz w:val="24"/>
          <w:lang w:val="en-US" w:eastAsia="zh-CN"/>
        </w:rPr>
        <w:t xml:space="preserve">, </w:t>
      </w:r>
      <w:r>
        <w:rPr>
          <w:rFonts w:hint="default" w:ascii="Times New Roman" w:hAnsi="Times New Roman" w:eastAsia="楷体_GB2312" w:cs="Times New Roman"/>
          <w:i w:val="0"/>
          <w:iCs w:val="0"/>
          <w:sz w:val="24"/>
          <w:lang w:val="it-IT"/>
        </w:rPr>
        <w:t>2019</w:t>
      </w:r>
      <w:r>
        <w:rPr>
          <w:rFonts w:hint="default" w:ascii="Times New Roman" w:hAnsi="Times New Roman" w:eastAsia="楷体_GB2312" w:cs="Times New Roman"/>
          <w:i w:val="0"/>
          <w:iCs w:val="0"/>
          <w:sz w:val="24"/>
          <w:lang w:val="en-US" w:eastAsia="zh-CN"/>
        </w:rPr>
        <w:t xml:space="preserve">, </w:t>
      </w:r>
      <w:r>
        <w:rPr>
          <w:rFonts w:hint="default" w:ascii="Times New Roman" w:hAnsi="Times New Roman" w:eastAsia="楷体_GB2312" w:cs="Times New Roman"/>
          <w:i w:val="0"/>
          <w:iCs w:val="0"/>
          <w:sz w:val="24"/>
          <w:lang w:val="it-IT"/>
        </w:rPr>
        <w:t>35(9):792-795</w:t>
      </w:r>
      <w:r>
        <w:rPr>
          <w:rFonts w:hint="default" w:ascii="Times New Roman" w:hAnsi="Times New Roman" w:eastAsia="楷体_GB2312" w:cs="Times New Roman"/>
          <w:i w:val="0"/>
          <w:iCs w:val="0"/>
          <w:sz w:val="24"/>
          <w:lang w:val="en-US" w:eastAsia="zh-CN"/>
        </w:rPr>
        <w:t>.</w:t>
      </w:r>
    </w:p>
    <w:p>
      <w:pPr>
        <w:numPr>
          <w:ilvl w:val="0"/>
          <w:numId w:val="0"/>
        </w:numPr>
        <w:rPr>
          <w:rFonts w:hint="default" w:ascii="Times New Roman" w:hAnsi="Times New Roman" w:eastAsia="楷体_GB2312" w:cs="Times New Roman"/>
          <w:i w:val="0"/>
          <w:iCs w:val="0"/>
          <w:sz w:val="24"/>
          <w:lang w:val="it-IT"/>
        </w:rPr>
      </w:pPr>
      <w:r>
        <w:rPr>
          <w:rFonts w:hint="default" w:ascii="Times New Roman" w:hAnsi="Times New Roman" w:eastAsia="楷体_GB2312" w:cs="Times New Roman"/>
          <w:i w:val="0"/>
          <w:iCs w:val="0"/>
          <w:sz w:val="24"/>
          <w:lang w:val="en-US" w:eastAsia="zh-CN"/>
        </w:rPr>
        <w:t>(7)</w:t>
      </w:r>
      <w:r>
        <w:rPr>
          <w:rFonts w:hint="default" w:ascii="Times New Roman" w:hAnsi="Times New Roman" w:eastAsia="楷体_GB2312" w:cs="Times New Roman"/>
          <w:i w:val="0"/>
          <w:iCs w:val="0"/>
          <w:sz w:val="24"/>
          <w:lang w:val="it-IT"/>
        </w:rPr>
        <w:t xml:space="preserve">Yang Yanjun#, Lei Lei#, </w:t>
      </w:r>
      <w:r>
        <w:rPr>
          <w:rFonts w:hint="default" w:ascii="Times New Roman" w:hAnsi="Times New Roman" w:eastAsia="楷体_GB2312" w:cs="Times New Roman"/>
          <w:b/>
          <w:bCs/>
          <w:i w:val="0"/>
          <w:iCs w:val="0"/>
          <w:sz w:val="24"/>
          <w:lang w:val="it-IT"/>
        </w:rPr>
        <w:t>Wang Shanshan</w:t>
      </w:r>
      <w:r>
        <w:rPr>
          <w:rFonts w:hint="default" w:ascii="Times New Roman" w:hAnsi="Times New Roman" w:eastAsia="楷体_GB2312" w:cs="Times New Roman"/>
          <w:i w:val="0"/>
          <w:iCs w:val="0"/>
          <w:sz w:val="24"/>
          <w:lang w:val="it-IT"/>
        </w:rPr>
        <w:t>#. et al. Transplantation of umbilical cord-derived mesenchymal stem cells on a collagen scaffold improves ovarian function in a premature ovarian failure model of mice. In Vitro Cell Dev Biol Anim. 2019, 55(4):302-311.</w:t>
      </w:r>
    </w:p>
    <w:p>
      <w:pPr>
        <w:numPr>
          <w:ilvl w:val="0"/>
          <w:numId w:val="0"/>
        </w:numPr>
        <w:rPr>
          <w:rFonts w:hint="default" w:ascii="Times New Roman" w:hAnsi="Times New Roman" w:eastAsia="楷体_GB2312" w:cs="Times New Roman"/>
          <w:i w:val="0"/>
          <w:iCs w:val="0"/>
          <w:sz w:val="24"/>
          <w:lang w:val="it-IT"/>
        </w:rPr>
      </w:pPr>
      <w:r>
        <w:rPr>
          <w:rFonts w:hint="default" w:ascii="Times New Roman" w:hAnsi="Times New Roman" w:eastAsia="楷体_GB2312" w:cs="Times New Roman"/>
          <w:i w:val="0"/>
          <w:iCs w:val="0"/>
          <w:sz w:val="24"/>
          <w:lang w:val="en-US" w:eastAsia="zh-CN"/>
        </w:rPr>
        <w:t>(8)</w:t>
      </w:r>
      <w:r>
        <w:rPr>
          <w:rFonts w:hint="default" w:ascii="Times New Roman" w:hAnsi="Times New Roman" w:eastAsia="楷体_GB2312" w:cs="Times New Roman"/>
          <w:i w:val="0"/>
          <w:iCs w:val="0"/>
          <w:sz w:val="24"/>
          <w:lang w:val="it-IT"/>
        </w:rPr>
        <w:t>Zhu M#,</w:t>
      </w:r>
      <w:r>
        <w:rPr>
          <w:rFonts w:hint="default" w:ascii="Times New Roman" w:hAnsi="Times New Roman" w:eastAsia="楷体_GB2312" w:cs="Times New Roman"/>
          <w:b/>
          <w:bCs/>
          <w:i w:val="0"/>
          <w:iCs w:val="0"/>
          <w:sz w:val="24"/>
          <w:lang w:val="it-IT"/>
        </w:rPr>
        <w:t xml:space="preserve"> Wang S</w:t>
      </w:r>
      <w:r>
        <w:rPr>
          <w:rFonts w:hint="default" w:ascii="Times New Roman" w:hAnsi="Times New Roman" w:eastAsia="楷体_GB2312" w:cs="Times New Roman"/>
          <w:i w:val="0"/>
          <w:iCs w:val="0"/>
          <w:sz w:val="24"/>
          <w:lang w:val="it-IT"/>
        </w:rPr>
        <w:t>#, Yi S, et al. A predictive formula for selecting individual FSH starting dose based on ovarian reserve markers in IVF/ICSI cycles.Arch Gynecol Obstet. 2019. doi: 10.1007/s00404-019-05156-2. [Epub ahead of print]</w:t>
      </w:r>
    </w:p>
    <w:p>
      <w:pPr>
        <w:autoSpaceDE w:val="0"/>
        <w:autoSpaceDN w:val="0"/>
        <w:adjustRightInd w:val="0"/>
        <w:rPr>
          <w:rFonts w:hint="default" w:ascii="Times New Roman" w:hAnsi="Times New Roman" w:eastAsia="宋体" w:cs="Times New Roman"/>
          <w:i w:val="0"/>
          <w:iCs w:val="0"/>
          <w:kern w:val="0"/>
          <w:sz w:val="24"/>
          <w:szCs w:val="24"/>
          <w:lang w:val="en-US" w:eastAsia="zh-CN"/>
        </w:rPr>
      </w:pPr>
      <w:r>
        <w:rPr>
          <w:rFonts w:hint="default" w:ascii="Times New Roman" w:hAnsi="Times New Roman" w:cs="Times New Roman"/>
          <w:i w:val="0"/>
          <w:iCs w:val="0"/>
          <w:kern w:val="0"/>
          <w:sz w:val="24"/>
          <w:szCs w:val="24"/>
          <w:lang w:val="en-US" w:eastAsia="zh-CN"/>
        </w:rPr>
        <w:t>(9)</w:t>
      </w:r>
      <w:r>
        <w:rPr>
          <w:rFonts w:hint="default" w:ascii="Times New Roman" w:hAnsi="Times New Roman" w:cs="Times New Roman"/>
          <w:i w:val="0"/>
          <w:iCs w:val="0"/>
          <w:kern w:val="0"/>
          <w:sz w:val="24"/>
          <w:szCs w:val="24"/>
          <w:lang w:val="it-IT"/>
        </w:rPr>
        <w:t>潘璠</w:t>
      </w:r>
      <w:r>
        <w:rPr>
          <w:rFonts w:hint="default" w:ascii="Times New Roman" w:hAnsi="Times New Roman" w:cs="Times New Roman"/>
          <w:i w:val="0"/>
          <w:iCs w:val="0"/>
          <w:kern w:val="0"/>
          <w:sz w:val="24"/>
          <w:szCs w:val="24"/>
          <w:lang w:val="it-IT" w:eastAsia="zh-CN"/>
        </w:rPr>
        <w:t>，</w:t>
      </w:r>
      <w:r>
        <w:rPr>
          <w:rFonts w:hint="default" w:ascii="Times New Roman" w:hAnsi="Times New Roman" w:cs="Times New Roman"/>
          <w:i w:val="0"/>
          <w:iCs w:val="0"/>
          <w:kern w:val="0"/>
          <w:sz w:val="24"/>
          <w:szCs w:val="24"/>
          <w:lang w:val="it-IT"/>
        </w:rPr>
        <w:t>季悦</w:t>
      </w:r>
      <w:r>
        <w:rPr>
          <w:rFonts w:hint="default" w:ascii="Times New Roman" w:hAnsi="Times New Roman" w:cs="Times New Roman"/>
          <w:i w:val="0"/>
          <w:iCs w:val="0"/>
          <w:kern w:val="0"/>
          <w:sz w:val="24"/>
          <w:szCs w:val="24"/>
          <w:lang w:val="it-IT" w:eastAsia="zh-CN"/>
        </w:rPr>
        <w:t>，</w:t>
      </w:r>
      <w:r>
        <w:rPr>
          <w:rFonts w:hint="default" w:ascii="Times New Roman" w:hAnsi="Times New Roman" w:cs="Times New Roman"/>
          <w:i w:val="0"/>
          <w:iCs w:val="0"/>
          <w:kern w:val="0"/>
          <w:sz w:val="24"/>
          <w:szCs w:val="24"/>
          <w:lang w:val="it-IT"/>
        </w:rPr>
        <w:t>王沛青</w:t>
      </w:r>
      <w:r>
        <w:rPr>
          <w:rFonts w:hint="default" w:ascii="Times New Roman" w:hAnsi="Times New Roman" w:cs="Times New Roman"/>
          <w:i w:val="0"/>
          <w:iCs w:val="0"/>
          <w:kern w:val="0"/>
          <w:sz w:val="24"/>
          <w:szCs w:val="24"/>
          <w:lang w:val="it-IT" w:eastAsia="zh-CN"/>
        </w:rPr>
        <w:t>，</w:t>
      </w:r>
      <w:r>
        <w:rPr>
          <w:rFonts w:hint="default" w:ascii="Times New Roman" w:hAnsi="Times New Roman" w:cs="Times New Roman"/>
          <w:i w:val="0"/>
          <w:iCs w:val="0"/>
          <w:kern w:val="0"/>
          <w:sz w:val="24"/>
          <w:szCs w:val="24"/>
          <w:lang w:val="it-IT"/>
        </w:rPr>
        <w:t>徐何荣</w:t>
      </w:r>
      <w:r>
        <w:rPr>
          <w:rFonts w:hint="default" w:ascii="Times New Roman" w:hAnsi="Times New Roman" w:cs="Times New Roman"/>
          <w:i w:val="0"/>
          <w:iCs w:val="0"/>
          <w:kern w:val="0"/>
          <w:sz w:val="24"/>
          <w:szCs w:val="24"/>
          <w:lang w:val="it-IT" w:eastAsia="zh-CN"/>
        </w:rPr>
        <w:t>，</w:t>
      </w:r>
      <w:r>
        <w:rPr>
          <w:rFonts w:hint="default" w:ascii="Times New Roman" w:hAnsi="Times New Roman" w:cs="Times New Roman"/>
          <w:b/>
          <w:bCs/>
          <w:i w:val="0"/>
          <w:iCs w:val="0"/>
          <w:kern w:val="0"/>
          <w:sz w:val="24"/>
          <w:szCs w:val="24"/>
          <w:lang w:val="it-IT"/>
        </w:rPr>
        <w:t>王珊珊</w:t>
      </w:r>
      <w:r>
        <w:rPr>
          <w:rFonts w:hint="default" w:ascii="Times New Roman" w:hAnsi="Times New Roman" w:cs="Times New Roman"/>
          <w:b/>
          <w:bCs/>
          <w:i w:val="0"/>
          <w:iCs w:val="0"/>
          <w:sz w:val="24"/>
          <w:szCs w:val="24"/>
          <w:lang w:val="en-US" w:eastAsia="zh-CN"/>
        </w:rPr>
        <w:t>*</w:t>
      </w:r>
      <w:r>
        <w:rPr>
          <w:rFonts w:hint="default" w:ascii="Times New Roman" w:hAnsi="Times New Roman" w:cs="Times New Roman"/>
          <w:i w:val="0"/>
          <w:iCs w:val="0"/>
          <w:kern w:val="0"/>
          <w:sz w:val="24"/>
          <w:szCs w:val="24"/>
          <w:lang w:val="it-IT" w:eastAsia="zh-CN"/>
        </w:rPr>
        <w:t>。</w:t>
      </w:r>
      <w:r>
        <w:rPr>
          <w:rFonts w:hint="default" w:ascii="Times New Roman" w:hAnsi="Times New Roman" w:cs="Times New Roman"/>
          <w:i w:val="0"/>
          <w:iCs w:val="0"/>
          <w:kern w:val="0"/>
          <w:sz w:val="24"/>
          <w:szCs w:val="24"/>
          <w:lang w:val="it-IT"/>
        </w:rPr>
        <w:t>Day 3非优质胚胎的新鲜周期不同时期单胚胎移植妊娠结局比较; 2022</w:t>
      </w:r>
      <w:r>
        <w:rPr>
          <w:rFonts w:hint="default" w:ascii="Times New Roman" w:hAnsi="Times New Roman" w:cs="Times New Roman"/>
          <w:i w:val="0"/>
          <w:iCs w:val="0"/>
          <w:kern w:val="0"/>
          <w:sz w:val="24"/>
          <w:szCs w:val="24"/>
          <w:lang w:val="it-IT" w:eastAsia="zh-CN"/>
        </w:rPr>
        <w:t>，</w:t>
      </w:r>
      <w:r>
        <w:rPr>
          <w:rFonts w:hint="default" w:ascii="Times New Roman" w:hAnsi="Times New Roman" w:cs="Times New Roman"/>
          <w:i w:val="0"/>
          <w:iCs w:val="0"/>
          <w:kern w:val="0"/>
          <w:sz w:val="24"/>
          <w:szCs w:val="24"/>
          <w:lang w:val="en-US" w:eastAsia="zh-CN"/>
        </w:rPr>
        <w:t>7(31):</w:t>
      </w:r>
      <w:r>
        <w:rPr>
          <w:rFonts w:hint="default" w:ascii="Times New Roman" w:hAnsi="Times New Roman" w:cs="Times New Roman"/>
          <w:i w:val="0"/>
          <w:iCs w:val="0"/>
          <w:kern w:val="0"/>
          <w:sz w:val="24"/>
          <w:szCs w:val="24"/>
          <w:lang w:val="it-IT"/>
        </w:rPr>
        <w:t>899-904</w:t>
      </w:r>
      <w:r>
        <w:rPr>
          <w:rFonts w:hint="default" w:ascii="Times New Roman" w:hAnsi="Times New Roman" w:cs="Times New Roman"/>
          <w:i w:val="0"/>
          <w:iCs w:val="0"/>
          <w:kern w:val="0"/>
          <w:sz w:val="24"/>
          <w:szCs w:val="24"/>
          <w:lang w:val="en-US" w:eastAsia="zh-CN"/>
        </w:rPr>
        <w:t>.</w:t>
      </w:r>
    </w:p>
    <w:p>
      <w:pPr>
        <w:autoSpaceDE w:val="0"/>
        <w:autoSpaceDN w:val="0"/>
        <w:adjustRightInd w:val="0"/>
        <w:rPr>
          <w:rFonts w:hint="default" w:ascii="Times New Roman" w:hAnsi="Times New Roman" w:cs="Times New Roman"/>
          <w:i w:val="0"/>
          <w:iCs w:val="0"/>
          <w:sz w:val="24"/>
          <w:szCs w:val="24"/>
          <w:lang w:val="en-US" w:eastAsia="zh-CN"/>
        </w:rPr>
      </w:pPr>
      <w:r>
        <w:rPr>
          <w:rFonts w:hint="default" w:ascii="Times New Roman" w:hAnsi="Times New Roman" w:eastAsia="楷体_GB2312" w:cs="Times New Roman"/>
          <w:i w:val="0"/>
          <w:iCs w:val="0"/>
          <w:sz w:val="24"/>
          <w:szCs w:val="24"/>
          <w:lang w:val="en-US" w:eastAsia="zh-CN"/>
        </w:rPr>
        <w:t>(10)</w:t>
      </w:r>
      <w:r>
        <w:rPr>
          <w:rFonts w:hint="default" w:ascii="Times New Roman" w:hAnsi="Times New Roman" w:cs="Times New Roman"/>
          <w:i w:val="0"/>
          <w:iCs w:val="0"/>
          <w:sz w:val="24"/>
          <w:szCs w:val="24"/>
          <w:lang w:val="en-US" w:eastAsia="zh-CN"/>
        </w:rPr>
        <w:t>陈磊，蒋如煜，</w:t>
      </w:r>
      <w:r>
        <w:rPr>
          <w:rFonts w:hint="default" w:ascii="Times New Roman" w:hAnsi="Times New Roman" w:cs="Times New Roman"/>
          <w:b/>
          <w:bCs/>
          <w:i w:val="0"/>
          <w:iCs w:val="0"/>
          <w:sz w:val="24"/>
          <w:szCs w:val="24"/>
          <w:lang w:val="en-US" w:eastAsia="zh-CN"/>
        </w:rPr>
        <w:t>王珊珊*</w:t>
      </w:r>
      <w:r>
        <w:rPr>
          <w:rFonts w:hint="default" w:ascii="Times New Roman" w:hAnsi="Times New Roman" w:cs="Times New Roman"/>
          <w:i w:val="0"/>
          <w:iCs w:val="0"/>
          <w:sz w:val="24"/>
          <w:szCs w:val="24"/>
          <w:lang w:val="en-US" w:eastAsia="zh-CN"/>
        </w:rPr>
        <w:t>。IVF-ET周期中2、4细胞卵裂球多核细胞发育情况及胚胎移植后妊娠结局观察. 山东医药，2020. 60(18)：1-4.</w:t>
      </w:r>
    </w:p>
    <w:p>
      <w:pPr>
        <w:numPr>
          <w:ilvl w:val="0"/>
          <w:numId w:val="0"/>
        </w:numPr>
        <w:rPr>
          <w:rFonts w:hint="default" w:ascii="Times New Roman" w:hAnsi="Times New Roman" w:cs="Times New Roman"/>
          <w:i w:val="0"/>
          <w:iCs w:val="0"/>
          <w:sz w:val="24"/>
          <w:szCs w:val="24"/>
          <w:lang w:val="en-US" w:eastAsia="zh-CN"/>
        </w:rPr>
      </w:pPr>
      <w:r>
        <w:rPr>
          <w:rFonts w:hint="default" w:ascii="Times New Roman" w:hAnsi="Times New Roman" w:cs="Times New Roman"/>
          <w:i w:val="0"/>
          <w:iCs w:val="0"/>
          <w:sz w:val="24"/>
          <w:szCs w:val="24"/>
          <w:lang w:val="en-US" w:eastAsia="zh-CN"/>
        </w:rPr>
        <w:t>(11)陈磊，季悦，</w:t>
      </w:r>
      <w:r>
        <w:rPr>
          <w:rFonts w:hint="default" w:ascii="Times New Roman" w:hAnsi="Times New Roman" w:cs="Times New Roman"/>
          <w:b/>
          <w:bCs/>
          <w:i w:val="0"/>
          <w:iCs w:val="0"/>
          <w:sz w:val="24"/>
          <w:szCs w:val="24"/>
          <w:lang w:val="en-US" w:eastAsia="zh-CN"/>
        </w:rPr>
        <w:t>王珊珊*</w:t>
      </w:r>
      <w:r>
        <w:rPr>
          <w:rFonts w:hint="default" w:ascii="Times New Roman" w:hAnsi="Times New Roman" w:cs="Times New Roman"/>
          <w:i w:val="0"/>
          <w:iCs w:val="0"/>
          <w:sz w:val="24"/>
          <w:szCs w:val="24"/>
          <w:lang w:val="en-US" w:eastAsia="zh-CN"/>
        </w:rPr>
        <w:t xml:space="preserve">，姜伟华，王沛青。应用 Time-lapse优选胚胎观察胚胎发育速度对单胚胎移植妊娠结局的影响.生殖医学杂志，2019.10(28):1153-1157. </w:t>
      </w:r>
    </w:p>
    <w:p>
      <w:pPr>
        <w:rPr>
          <w:rFonts w:hint="default" w:ascii="Times New Roman" w:hAnsi="Times New Roman" w:eastAsia="方正仿宋_GBK" w:cs="Times New Roman"/>
          <w:sz w:val="32"/>
          <w:szCs w:val="32"/>
          <w:lang w:val="en-US" w:eastAsia="zh-CN"/>
        </w:rPr>
      </w:pPr>
    </w:p>
    <w:p>
      <w:pPr>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编辑成Word版本发至邮箱glyz202208@163.com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1B2DBE"/>
    <w:multiLevelType w:val="singleLevel"/>
    <w:tmpl w:val="CE1B2DBE"/>
    <w:lvl w:ilvl="0" w:tentative="0">
      <w:start w:val="1"/>
      <w:numFmt w:val="decimal"/>
      <w:lvlText w:val="(%1)"/>
      <w:lvlJc w:val="left"/>
      <w:pPr>
        <w:tabs>
          <w:tab w:val="left" w:pos="312"/>
        </w:tabs>
      </w:pPr>
    </w:lvl>
  </w:abstractNum>
  <w:abstractNum w:abstractNumId="1">
    <w:nsid w:val="FC50253D"/>
    <w:multiLevelType w:val="singleLevel"/>
    <w:tmpl w:val="FC50253D"/>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hZjc1MzMzZDQzMTFkMmE5NjY2NTllNGNiMTllMGUifQ=="/>
  </w:docVars>
  <w:rsids>
    <w:rsidRoot w:val="00000000"/>
    <w:rsid w:val="00D23242"/>
    <w:rsid w:val="038462CE"/>
    <w:rsid w:val="05DC421B"/>
    <w:rsid w:val="08EC486E"/>
    <w:rsid w:val="09DB1263"/>
    <w:rsid w:val="0B4765DB"/>
    <w:rsid w:val="10CF6E57"/>
    <w:rsid w:val="14AD74AF"/>
    <w:rsid w:val="14E2467B"/>
    <w:rsid w:val="18EB4A4A"/>
    <w:rsid w:val="19407488"/>
    <w:rsid w:val="1CFF0AC4"/>
    <w:rsid w:val="1D5726AE"/>
    <w:rsid w:val="21A140DF"/>
    <w:rsid w:val="24D467CB"/>
    <w:rsid w:val="2BCD6029"/>
    <w:rsid w:val="2BF20B3F"/>
    <w:rsid w:val="2DA86915"/>
    <w:rsid w:val="2DC32BEE"/>
    <w:rsid w:val="2E057F04"/>
    <w:rsid w:val="393B2A2C"/>
    <w:rsid w:val="3B506C62"/>
    <w:rsid w:val="4BC6087B"/>
    <w:rsid w:val="4FD32A41"/>
    <w:rsid w:val="53990623"/>
    <w:rsid w:val="54065CB8"/>
    <w:rsid w:val="54921C42"/>
    <w:rsid w:val="54D1276A"/>
    <w:rsid w:val="5C2F421A"/>
    <w:rsid w:val="5C617CB8"/>
    <w:rsid w:val="626562A0"/>
    <w:rsid w:val="62A80882"/>
    <w:rsid w:val="669D5583"/>
    <w:rsid w:val="6B1512A5"/>
    <w:rsid w:val="71956476"/>
    <w:rsid w:val="71CC75E7"/>
    <w:rsid w:val="71FE0258"/>
    <w:rsid w:val="746A1E3C"/>
    <w:rsid w:val="769158AA"/>
    <w:rsid w:val="78183E04"/>
    <w:rsid w:val="787F7564"/>
    <w:rsid w:val="7AFD1314"/>
    <w:rsid w:val="7CF229CE"/>
    <w:rsid w:val="7D3E6BE1"/>
    <w:rsid w:val="7FEA4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style01"/>
    <w:basedOn w:val="3"/>
    <w:uiPriority w:val="0"/>
    <w:rPr>
      <w:rFonts w:ascii="楷体" w:hAnsi="楷体" w:eastAsia="楷体" w:cs="楷体"/>
      <w:color w:val="00000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70</Words>
  <Characters>72</Characters>
  <Lines>0</Lines>
  <Paragraphs>0</Paragraphs>
  <TotalTime>38</TotalTime>
  <ScaleCrop>false</ScaleCrop>
  <LinksUpToDate>false</LinksUpToDate>
  <CharactersWithSpaces>72</CharactersWithSpaces>
  <Application>WPS Office_11.1.0.13020_F1E327BC-269C-435d-A152-05C5408002CA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2023-03-06T03:10:00Z</dcterms:created>
  <dc:creator>Administrator</dc:creator>
  <cp:lastModifiedBy>呼呼喵</cp:lastModifiedBy>
  <dcterms:modified xsi:type="dcterms:W3CDTF">2023-03-07T03:36:14Z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2052-11.1.0.13020</vt:lpwstr>
  </property>
  <property fmtid="{D5CDD505-2E9C-101B-9397-08002B2CF9AE}" pid="3" name="ICV">
    <vt:lpwstr>A6933439B3F74122B32478A6FA438663</vt:lpwstr>
  </property>
</Properties>
</file>