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snapToGrid w:val="0"/>
        <w:spacing w:before="120" w:after="120"/>
        <w:rPr>
          <w:rFonts w:ascii="Times New Roman" w:hAnsi="Times New Roman" w:eastAsia="方正仿宋_GBK" w:cs="Times New Roman"/>
          <w:sz w:val="32"/>
          <w:szCs w:val="32"/>
        </w:rPr>
      </w:pPr>
      <w:r>
        <w:rPr>
          <w:rFonts w:ascii="Times New Roman" w:hAnsi="Times New Roman" w:eastAsia="方正仿宋_GBK" w:cs="Times New Roman"/>
          <w:sz w:val="32"/>
          <w:szCs w:val="32"/>
        </w:rPr>
        <w:t>导师姓名：</w:t>
      </w:r>
      <w:r>
        <w:rPr>
          <w:rFonts w:ascii="Times New Roman" w:hAnsi="Times New Roman" w:cs="Times New Roman"/>
          <w:sz w:val="28"/>
          <w:szCs w:val="28"/>
        </w:rPr>
        <w:t>柏兵</w:t>
      </w:r>
    </w:p>
    <w:p>
      <w:pPr>
        <w:snapToGrid w:val="0"/>
        <w:spacing w:before="120" w:after="120"/>
        <w:rPr>
          <w:rFonts w:ascii="Times New Roman" w:hAnsi="Times New Roman" w:eastAsia="方正仿宋_GBK" w:cs="Times New Roman"/>
          <w:sz w:val="32"/>
          <w:szCs w:val="32"/>
        </w:rPr>
      </w:pPr>
      <w:r>
        <w:rPr>
          <w:rFonts w:ascii="Times New Roman" w:hAnsi="Times New Roman" w:eastAsia="方正仿宋_GBK" w:cs="Times New Roman"/>
          <w:sz w:val="32"/>
          <w:szCs w:val="32"/>
        </w:rPr>
        <w:drawing>
          <wp:anchor distT="0" distB="0" distL="114300" distR="114300" simplePos="0" relativeHeight="251659264" behindDoc="0" locked="0" layoutInCell="1" allowOverlap="1">
            <wp:simplePos x="0" y="0"/>
            <wp:positionH relativeFrom="column">
              <wp:posOffset>875030</wp:posOffset>
            </wp:positionH>
            <wp:positionV relativeFrom="paragraph">
              <wp:posOffset>321945</wp:posOffset>
            </wp:positionV>
            <wp:extent cx="904875" cy="1257300"/>
            <wp:effectExtent l="0" t="0" r="0" b="0"/>
            <wp:wrapTopAndBottom/>
            <wp:docPr id="1" name="图片 1" descr="E:\工作文件\工作人员基本情况\2021\柏兵\333\附件材料\柏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工作文件\工作人员基本情况\2021\柏兵\333\附件材料\柏兵.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904875" cy="1257300"/>
                    </a:xfrm>
                    <a:prstGeom prst="rect">
                      <a:avLst/>
                    </a:prstGeom>
                    <a:noFill/>
                    <a:ln w="9525">
                      <a:noFill/>
                      <a:miter lim="800000"/>
                      <a:headEnd/>
                      <a:tailEnd/>
                    </a:ln>
                  </pic:spPr>
                </pic:pic>
              </a:graphicData>
            </a:graphic>
          </wp:anchor>
        </w:drawing>
      </w:r>
      <w:r>
        <w:rPr>
          <w:rFonts w:ascii="Times New Roman" w:hAnsi="Times New Roman" w:eastAsia="方正仿宋_GBK" w:cs="Times New Roman"/>
          <w:sz w:val="32"/>
          <w:szCs w:val="32"/>
        </w:rPr>
        <w:t>2、照片：</w:t>
      </w:r>
    </w:p>
    <w:p>
      <w:pPr>
        <w:snapToGrid w:val="0"/>
        <w:spacing w:before="120" w:after="120"/>
        <w:rPr>
          <w:rFonts w:ascii="Times New Roman" w:hAnsi="Times New Roman" w:eastAsia="方正仿宋_GBK" w:cs="Times New Roman"/>
          <w:sz w:val="28"/>
          <w:szCs w:val="28"/>
        </w:rPr>
      </w:pPr>
      <w:r>
        <w:rPr>
          <w:rFonts w:ascii="Times New Roman" w:hAnsi="Times New Roman" w:eastAsia="方正仿宋_GBK" w:cs="Times New Roman"/>
          <w:sz w:val="32"/>
          <w:szCs w:val="32"/>
        </w:rPr>
        <w:t>3、职称：</w:t>
      </w:r>
      <w:r>
        <w:rPr>
          <w:rFonts w:ascii="Times New Roman" w:hAnsi="Times New Roman" w:cs="Times New Roman"/>
          <w:sz w:val="28"/>
          <w:szCs w:val="28"/>
        </w:rPr>
        <w:t>副研究员</w:t>
      </w:r>
    </w:p>
    <w:p>
      <w:pPr>
        <w:snapToGrid w:val="0"/>
        <w:spacing w:before="120" w:after="120"/>
        <w:rPr>
          <w:rFonts w:ascii="Times New Roman" w:hAnsi="Times New Roman" w:eastAsia="方正仿宋_GBK" w:cs="Times New Roman"/>
          <w:sz w:val="32"/>
          <w:szCs w:val="32"/>
        </w:rPr>
      </w:pPr>
      <w:r>
        <w:rPr>
          <w:rFonts w:ascii="Times New Roman" w:hAnsi="Times New Roman" w:eastAsia="方正仿宋_GBK" w:cs="Times New Roman"/>
          <w:sz w:val="32"/>
          <w:szCs w:val="32"/>
        </w:rPr>
        <w:t>4、主要研究领域和方向（100字以内）：</w:t>
      </w:r>
    </w:p>
    <w:p>
      <w:pPr>
        <w:snapToGrid w:val="0"/>
        <w:ind w:firstLine="480" w:firstLineChars="200"/>
        <w:rPr>
          <w:rFonts w:ascii="Times New Roman" w:hAnsi="Times New Roman" w:cs="Times New Roman"/>
          <w:sz w:val="24"/>
          <w:szCs w:val="28"/>
        </w:rPr>
      </w:pPr>
      <w:r>
        <w:rPr>
          <w:rFonts w:hint="eastAsia" w:ascii="Times New Roman" w:hAnsi="Times New Roman" w:cs="Times New Roman"/>
          <w:sz w:val="24"/>
          <w:szCs w:val="28"/>
        </w:rPr>
        <w:t>掌握蛋白质谱技术，在超深度蛋白组学方面具有国际领先的独特优势，特别是在血浆超深度蛋白组学、糖组学及肽组学方面等。研究方向包括</w:t>
      </w:r>
      <w:r>
        <w:rPr>
          <w:rFonts w:ascii="Times New Roman" w:hAnsi="Times New Roman" w:cs="Times New Roman"/>
          <w:sz w:val="24"/>
          <w:szCs w:val="28"/>
        </w:rPr>
        <w:t>衰老、</w:t>
      </w:r>
      <w:r>
        <w:rPr>
          <w:rFonts w:hint="eastAsia" w:ascii="Times New Roman" w:hAnsi="Times New Roman" w:cs="Times New Roman"/>
          <w:sz w:val="24"/>
          <w:szCs w:val="28"/>
        </w:rPr>
        <w:t>智商、</w:t>
      </w:r>
      <w:r>
        <w:rPr>
          <w:rFonts w:ascii="Times New Roman" w:hAnsi="Times New Roman" w:cs="Times New Roman"/>
          <w:sz w:val="24"/>
          <w:szCs w:val="28"/>
        </w:rPr>
        <w:t>神经退行性变病变、肿瘤、免疫等临床疾病的分子标志物与发病机制。</w:t>
      </w:r>
    </w:p>
    <w:p>
      <w:pPr>
        <w:snapToGrid w:val="0"/>
        <w:spacing w:before="120" w:after="120"/>
        <w:rPr>
          <w:rFonts w:ascii="Times New Roman" w:hAnsi="Times New Roman" w:eastAsia="方正仿宋_GBK" w:cs="Times New Roman"/>
          <w:sz w:val="32"/>
          <w:szCs w:val="32"/>
        </w:rPr>
      </w:pPr>
      <w:r>
        <w:rPr>
          <w:rFonts w:ascii="Times New Roman" w:hAnsi="Times New Roman" w:eastAsia="方正仿宋_GBK" w:cs="Times New Roman"/>
          <w:sz w:val="32"/>
          <w:szCs w:val="32"/>
        </w:rPr>
        <w:t>5、联系方式（邮箱）：bing.bai@nju.edu.cn</w:t>
      </w:r>
    </w:p>
    <w:p>
      <w:pPr>
        <w:snapToGrid w:val="0"/>
        <w:spacing w:before="120" w:after="120"/>
        <w:rPr>
          <w:rFonts w:ascii="Times New Roman" w:hAnsi="Times New Roman" w:eastAsia="方正仿宋_GBK" w:cs="Times New Roman"/>
          <w:sz w:val="32"/>
          <w:szCs w:val="32"/>
        </w:rPr>
      </w:pPr>
      <w:r>
        <w:rPr>
          <w:rFonts w:ascii="Times New Roman" w:hAnsi="Times New Roman" w:eastAsia="方正仿宋_GBK" w:cs="Times New Roman"/>
          <w:sz w:val="32"/>
          <w:szCs w:val="32"/>
        </w:rPr>
        <w:t>6、承担的项目（近五年）：</w:t>
      </w:r>
    </w:p>
    <w:p>
      <w:pPr>
        <w:widowControl/>
        <w:numPr>
          <w:ilvl w:val="0"/>
          <w:numId w:val="2"/>
        </w:numPr>
        <w:tabs>
          <w:tab w:val="left" w:pos="-1440"/>
          <w:tab w:val="left" w:pos="-720"/>
          <w:tab w:val="left" w:pos="1170"/>
          <w:tab w:val="left" w:pos="2250"/>
          <w:tab w:val="left" w:pos="3780"/>
        </w:tabs>
        <w:snapToGrid w:val="0"/>
        <w:spacing w:after="120"/>
        <w:ind w:left="504" w:hanging="418"/>
        <w:jc w:val="left"/>
        <w:rPr>
          <w:rFonts w:ascii="Times New Roman" w:hAnsi="Times New Roman" w:eastAsia="宋体" w:cs="Times New Roman"/>
          <w:snapToGrid w:val="0"/>
          <w:kern w:val="0"/>
          <w:sz w:val="24"/>
          <w:szCs w:val="28"/>
        </w:rPr>
      </w:pPr>
      <w:r>
        <w:rPr>
          <w:rFonts w:ascii="Times New Roman" w:hAnsi="Times New Roman" w:eastAsia="宋体" w:cs="Times New Roman"/>
          <w:snapToGrid w:val="0"/>
          <w:kern w:val="0"/>
          <w:sz w:val="24"/>
          <w:szCs w:val="28"/>
        </w:rPr>
        <w:t>2023/01-2025/12, 南京市卫生健康委员会，南京市卫生科技发展专项资金资助（重点项目），ZKX22013，基于 IP-TMT-LC-MS/MS的阿尔茨海默病患者外周血 Tau 蛋白磷酸化精准检测分析，10万，主持。</w:t>
      </w:r>
    </w:p>
    <w:p>
      <w:pPr>
        <w:widowControl/>
        <w:numPr>
          <w:ilvl w:val="0"/>
          <w:numId w:val="2"/>
        </w:numPr>
        <w:tabs>
          <w:tab w:val="left" w:pos="-1440"/>
          <w:tab w:val="left" w:pos="-720"/>
          <w:tab w:val="left" w:pos="1170"/>
          <w:tab w:val="left" w:pos="2250"/>
          <w:tab w:val="left" w:pos="3780"/>
        </w:tabs>
        <w:snapToGrid w:val="0"/>
        <w:spacing w:after="120"/>
        <w:ind w:left="504" w:hanging="418"/>
        <w:jc w:val="left"/>
        <w:rPr>
          <w:rFonts w:ascii="Times New Roman" w:hAnsi="Times New Roman" w:eastAsia="宋体" w:cs="Times New Roman"/>
          <w:snapToGrid w:val="0"/>
          <w:kern w:val="0"/>
          <w:sz w:val="24"/>
          <w:szCs w:val="28"/>
        </w:rPr>
      </w:pPr>
      <w:r>
        <w:rPr>
          <w:rFonts w:ascii="Times New Roman" w:hAnsi="Times New Roman" w:eastAsia="宋体" w:cs="Times New Roman"/>
          <w:snapToGrid w:val="0"/>
          <w:kern w:val="0"/>
          <w:sz w:val="24"/>
          <w:szCs w:val="28"/>
        </w:rPr>
        <w:t>2022/07-2025/06, 南京鼓楼医院临床研究专项资金面上项目，2022-LCYJ-MS-02，基于多位点的血清磷酸化Tau蛋白高灵敏检测在阿尔茨海默病中的应用研究，50万，主持。</w:t>
      </w:r>
    </w:p>
    <w:p>
      <w:pPr>
        <w:widowControl/>
        <w:numPr>
          <w:ilvl w:val="0"/>
          <w:numId w:val="2"/>
        </w:numPr>
        <w:tabs>
          <w:tab w:val="left" w:pos="-1440"/>
          <w:tab w:val="left" w:pos="-720"/>
          <w:tab w:val="left" w:pos="1170"/>
          <w:tab w:val="left" w:pos="2250"/>
          <w:tab w:val="left" w:pos="3780"/>
        </w:tabs>
        <w:snapToGrid w:val="0"/>
        <w:spacing w:after="120"/>
        <w:ind w:left="504" w:hanging="418"/>
        <w:jc w:val="left"/>
        <w:rPr>
          <w:rFonts w:ascii="Times New Roman" w:hAnsi="Times New Roman" w:eastAsia="宋体" w:cs="Times New Roman"/>
          <w:snapToGrid w:val="0"/>
          <w:kern w:val="0"/>
          <w:sz w:val="24"/>
          <w:szCs w:val="28"/>
        </w:rPr>
      </w:pPr>
      <w:r>
        <w:rPr>
          <w:rFonts w:ascii="Times New Roman" w:hAnsi="Times New Roman" w:eastAsia="宋体" w:cs="Times New Roman"/>
          <w:snapToGrid w:val="0"/>
          <w:kern w:val="0"/>
          <w:sz w:val="24"/>
          <w:szCs w:val="28"/>
        </w:rPr>
        <w:t>2022/01-2025/12，国家自然科学基金面上项目，82172354，Aβ诱导的Netrin-1在阿尔茨海默病中的分子标志物价值及其对小胶质细胞聚集与炎症小体活化的促进作用研究，55万元，主持。</w:t>
      </w:r>
    </w:p>
    <w:p>
      <w:pPr>
        <w:widowControl/>
        <w:numPr>
          <w:ilvl w:val="0"/>
          <w:numId w:val="2"/>
        </w:numPr>
        <w:tabs>
          <w:tab w:val="left" w:pos="-1440"/>
          <w:tab w:val="left" w:pos="-720"/>
          <w:tab w:val="left" w:pos="1170"/>
          <w:tab w:val="left" w:pos="2250"/>
          <w:tab w:val="left" w:pos="3780"/>
        </w:tabs>
        <w:snapToGrid w:val="0"/>
        <w:spacing w:after="120"/>
        <w:ind w:left="504" w:hanging="418"/>
        <w:jc w:val="left"/>
        <w:rPr>
          <w:rFonts w:ascii="Times New Roman" w:hAnsi="Times New Roman" w:eastAsia="宋体" w:cs="Times New Roman"/>
          <w:snapToGrid w:val="0"/>
          <w:kern w:val="0"/>
          <w:sz w:val="24"/>
          <w:szCs w:val="28"/>
        </w:rPr>
      </w:pPr>
      <w:r>
        <w:rPr>
          <w:rFonts w:ascii="Times New Roman" w:hAnsi="Times New Roman" w:eastAsia="宋体" w:cs="Times New Roman"/>
          <w:snapToGrid w:val="0"/>
          <w:kern w:val="0"/>
          <w:sz w:val="24"/>
          <w:szCs w:val="28"/>
        </w:rPr>
        <w:t>2022/01-2024/12，江苏省卫健委医学科研面上项目，M2021012，基于IP-TMT-LC-MS/MS的阿尔茨海默病患者外周血Aβ相关蛋白的精准检测分析，4万元，主持。</w:t>
      </w:r>
    </w:p>
    <w:p>
      <w:pPr>
        <w:widowControl/>
        <w:numPr>
          <w:ilvl w:val="0"/>
          <w:numId w:val="2"/>
        </w:numPr>
        <w:tabs>
          <w:tab w:val="left" w:pos="-1440"/>
          <w:tab w:val="left" w:pos="-720"/>
          <w:tab w:val="left" w:pos="1170"/>
          <w:tab w:val="left" w:pos="2250"/>
          <w:tab w:val="left" w:pos="3780"/>
        </w:tabs>
        <w:snapToGrid w:val="0"/>
        <w:spacing w:after="120"/>
        <w:ind w:left="504" w:hanging="418"/>
        <w:jc w:val="left"/>
        <w:rPr>
          <w:rFonts w:ascii="Times New Roman" w:hAnsi="Times New Roman" w:eastAsia="宋体" w:cs="Times New Roman"/>
          <w:snapToGrid w:val="0"/>
          <w:kern w:val="0"/>
          <w:sz w:val="24"/>
          <w:szCs w:val="28"/>
        </w:rPr>
      </w:pPr>
      <w:r>
        <w:rPr>
          <w:rFonts w:ascii="Times New Roman" w:hAnsi="Times New Roman" w:eastAsia="宋体" w:cs="Times New Roman"/>
          <w:snapToGrid w:val="0"/>
          <w:kern w:val="0"/>
          <w:sz w:val="24"/>
          <w:szCs w:val="28"/>
        </w:rPr>
        <w:t>2021/01-2023/12，江苏省卫健委老年健康科研课题面上项目，LK2021028，Aβ相关蛋白作为阿尔茨海默病患者早期外周血标志物的精准检测分析与临床应用研究，1万元，主持。</w:t>
      </w:r>
    </w:p>
    <w:p>
      <w:pPr>
        <w:widowControl/>
        <w:numPr>
          <w:ilvl w:val="0"/>
          <w:numId w:val="2"/>
        </w:numPr>
        <w:tabs>
          <w:tab w:val="left" w:pos="-1440"/>
          <w:tab w:val="left" w:pos="-720"/>
          <w:tab w:val="left" w:pos="1170"/>
          <w:tab w:val="left" w:pos="2250"/>
          <w:tab w:val="left" w:pos="3780"/>
        </w:tabs>
        <w:snapToGrid w:val="0"/>
        <w:spacing w:after="120"/>
        <w:ind w:left="504" w:hanging="418"/>
        <w:jc w:val="left"/>
        <w:rPr>
          <w:rFonts w:ascii="Times New Roman" w:hAnsi="Times New Roman" w:eastAsia="宋体" w:cs="Times New Roman"/>
          <w:snapToGrid w:val="0"/>
          <w:kern w:val="0"/>
          <w:sz w:val="24"/>
          <w:szCs w:val="28"/>
        </w:rPr>
      </w:pPr>
      <w:r>
        <w:rPr>
          <w:rFonts w:ascii="Times New Roman" w:hAnsi="Times New Roman" w:eastAsia="宋体" w:cs="Times New Roman"/>
          <w:snapToGrid w:val="0"/>
          <w:kern w:val="0"/>
          <w:sz w:val="24"/>
          <w:szCs w:val="28"/>
        </w:rPr>
        <w:t>2021/01-2021/12，南京鼓楼医院新技术发展基金项目，血浆醛固酮测定（串联质谱法），主持。</w:t>
      </w:r>
    </w:p>
    <w:p>
      <w:pPr>
        <w:widowControl/>
        <w:numPr>
          <w:ilvl w:val="0"/>
          <w:numId w:val="2"/>
        </w:numPr>
        <w:tabs>
          <w:tab w:val="left" w:pos="-1440"/>
          <w:tab w:val="left" w:pos="-720"/>
          <w:tab w:val="left" w:pos="1170"/>
          <w:tab w:val="left" w:pos="2250"/>
          <w:tab w:val="left" w:pos="3780"/>
        </w:tabs>
        <w:snapToGrid w:val="0"/>
        <w:spacing w:after="120"/>
        <w:ind w:left="504" w:hanging="418"/>
        <w:jc w:val="left"/>
        <w:rPr>
          <w:rFonts w:ascii="Times New Roman" w:hAnsi="Times New Roman" w:eastAsia="宋体" w:cs="Times New Roman"/>
          <w:snapToGrid w:val="0"/>
          <w:kern w:val="0"/>
          <w:sz w:val="24"/>
          <w:szCs w:val="28"/>
        </w:rPr>
      </w:pPr>
      <w:r>
        <w:rPr>
          <w:rFonts w:ascii="Times New Roman" w:hAnsi="Times New Roman" w:eastAsia="宋体" w:cs="Times New Roman"/>
          <w:snapToGrid w:val="0"/>
          <w:kern w:val="0"/>
          <w:sz w:val="24"/>
          <w:szCs w:val="28"/>
        </w:rPr>
        <w:t>2019/01-2020/12，江苏省卫生计生委面上项目，H2018075，脑脊液和血清 SmD 蛋白水平检测对阿尔茨海默病的诊断研究，4万元，主持。</w:t>
      </w:r>
    </w:p>
    <w:p>
      <w:pPr>
        <w:widowControl/>
        <w:numPr>
          <w:ilvl w:val="0"/>
          <w:numId w:val="2"/>
        </w:numPr>
        <w:tabs>
          <w:tab w:val="left" w:pos="-1440"/>
          <w:tab w:val="left" w:pos="-720"/>
          <w:tab w:val="left" w:pos="1170"/>
          <w:tab w:val="left" w:pos="2250"/>
          <w:tab w:val="left" w:pos="3780"/>
        </w:tabs>
        <w:snapToGrid w:val="0"/>
        <w:spacing w:after="120"/>
        <w:ind w:left="504" w:hanging="418"/>
        <w:jc w:val="left"/>
        <w:rPr>
          <w:rFonts w:ascii="Times New Roman" w:hAnsi="Times New Roman" w:eastAsia="方正仿宋_GBK" w:cs="Times New Roman"/>
          <w:sz w:val="32"/>
          <w:szCs w:val="32"/>
        </w:rPr>
      </w:pPr>
      <w:r>
        <w:rPr>
          <w:rFonts w:ascii="Times New Roman" w:hAnsi="Times New Roman" w:eastAsia="宋体" w:cs="Times New Roman"/>
          <w:snapToGrid w:val="0"/>
          <w:kern w:val="0"/>
          <w:sz w:val="24"/>
          <w:szCs w:val="28"/>
        </w:rPr>
        <w:t>2018/07-2021/06，江苏省社会发展重点研发项目，BE2018601，阿尔茨海默病中血清U1 snRNP自身抗体的诊断性应用研发，50万元，主持。</w:t>
      </w:r>
    </w:p>
    <w:p>
      <w:pPr>
        <w:snapToGrid w:val="0"/>
        <w:spacing w:before="120" w:after="120"/>
        <w:rPr>
          <w:rFonts w:ascii="Times New Roman" w:hAnsi="Times New Roman" w:eastAsia="方正仿宋_GBK" w:cs="Times New Roman"/>
          <w:sz w:val="32"/>
          <w:szCs w:val="32"/>
        </w:rPr>
      </w:pPr>
      <w:r>
        <w:rPr>
          <w:rFonts w:ascii="Times New Roman" w:hAnsi="Times New Roman" w:eastAsia="方正仿宋_GBK" w:cs="Times New Roman"/>
          <w:sz w:val="32"/>
          <w:szCs w:val="32"/>
        </w:rPr>
        <w:t>7、代表性论文（近五年）：</w:t>
      </w:r>
    </w:p>
    <w:p>
      <w:pPr>
        <w:numPr>
          <w:ilvl w:val="0"/>
          <w:numId w:val="3"/>
        </w:numPr>
        <w:snapToGrid w:val="0"/>
        <w:spacing w:before="120" w:after="120"/>
        <w:jc w:val="left"/>
        <w:rPr>
          <w:rFonts w:ascii="Times New Roman" w:hAnsi="Times New Roman" w:eastAsia="宋体" w:cs="Times New Roman"/>
          <w:snapToGrid w:val="0"/>
          <w:kern w:val="0"/>
          <w:sz w:val="24"/>
          <w:szCs w:val="28"/>
        </w:rPr>
      </w:pPr>
      <w:r>
        <w:rPr>
          <w:rFonts w:ascii="Times New Roman" w:hAnsi="Times New Roman" w:eastAsia="宋体" w:cs="Times New Roman"/>
          <w:snapToGrid w:val="0"/>
          <w:kern w:val="0"/>
          <w:sz w:val="24"/>
          <w:szCs w:val="28"/>
        </w:rPr>
        <w:t>郑茜，陶月，陈衣强，刘思远，陈德柱，彭鲁，顾寿永，蔡敏琪，</w:t>
      </w:r>
      <w:r>
        <w:rPr>
          <w:rFonts w:ascii="Times New Roman" w:hAnsi="Times New Roman" w:eastAsia="宋体" w:cs="Times New Roman"/>
          <w:b/>
          <w:snapToGrid w:val="0"/>
          <w:kern w:val="0"/>
          <w:sz w:val="24"/>
          <w:szCs w:val="28"/>
        </w:rPr>
        <w:t>柏兵</w:t>
      </w:r>
      <w:r>
        <w:rPr>
          <w:rFonts w:ascii="Times New Roman" w:hAnsi="Times New Roman" w:eastAsia="宋体" w:cs="Times New Roman"/>
          <w:snapToGrid w:val="0"/>
          <w:kern w:val="0"/>
          <w:sz w:val="24"/>
          <w:szCs w:val="28"/>
        </w:rPr>
        <w:t xml:space="preserve">*. 老年病人血清Aβ42与磷酸化Tau蛋白检测的临床价值. </w:t>
      </w:r>
      <w:r>
        <w:rPr>
          <w:rFonts w:ascii="Times New Roman" w:hAnsi="Times New Roman" w:eastAsia="宋体" w:cs="Times New Roman"/>
          <w:i/>
          <w:snapToGrid w:val="0"/>
          <w:kern w:val="0"/>
          <w:sz w:val="24"/>
          <w:szCs w:val="28"/>
          <w:u w:val="single"/>
        </w:rPr>
        <w:t>实用老年医学</w:t>
      </w:r>
      <w:r>
        <w:rPr>
          <w:rFonts w:ascii="Times New Roman" w:hAnsi="Times New Roman" w:eastAsia="宋体" w:cs="Times New Roman"/>
          <w:snapToGrid w:val="0"/>
          <w:kern w:val="0"/>
          <w:sz w:val="24"/>
          <w:szCs w:val="28"/>
        </w:rPr>
        <w:t>. 2022,36(12),1229-1232.</w:t>
      </w:r>
    </w:p>
    <w:p>
      <w:pPr>
        <w:numPr>
          <w:ilvl w:val="0"/>
          <w:numId w:val="3"/>
        </w:numPr>
        <w:snapToGrid w:val="0"/>
        <w:spacing w:before="120" w:after="120"/>
        <w:jc w:val="left"/>
        <w:rPr>
          <w:rFonts w:ascii="Times New Roman" w:hAnsi="Times New Roman" w:eastAsia="宋体" w:cs="Times New Roman"/>
          <w:snapToGrid w:val="0"/>
          <w:kern w:val="0"/>
          <w:sz w:val="24"/>
          <w:szCs w:val="28"/>
        </w:rPr>
      </w:pPr>
      <w:r>
        <w:rPr>
          <w:rFonts w:ascii="Times New Roman" w:hAnsi="Times New Roman" w:eastAsia="宋体" w:cs="Times New Roman"/>
          <w:snapToGrid w:val="0"/>
          <w:kern w:val="0"/>
          <w:sz w:val="24"/>
          <w:szCs w:val="28"/>
        </w:rPr>
        <w:t xml:space="preserve">Ming Bi, </w:t>
      </w:r>
      <w:r>
        <w:rPr>
          <w:rFonts w:ascii="Times New Roman" w:hAnsi="Times New Roman" w:eastAsia="宋体" w:cs="Times New Roman"/>
          <w:b/>
          <w:snapToGrid w:val="0"/>
          <w:kern w:val="0"/>
          <w:sz w:val="24"/>
          <w:szCs w:val="28"/>
        </w:rPr>
        <w:t>Bing Bai*</w:t>
      </w:r>
      <w:r>
        <w:rPr>
          <w:rFonts w:ascii="Times New Roman" w:hAnsi="Times New Roman" w:eastAsia="宋体" w:cs="Times New Roman"/>
          <w:snapToGrid w:val="0"/>
          <w:kern w:val="0"/>
          <w:sz w:val="24"/>
          <w:szCs w:val="28"/>
        </w:rPr>
        <w:t xml:space="preserve">, Zhixin Tian*. Structure-Specific N- Glycoproteomics Characterization of NIST Monoclonal Antibody Reference Material 8671. </w:t>
      </w:r>
      <w:r>
        <w:rPr>
          <w:rFonts w:ascii="Times New Roman" w:hAnsi="Times New Roman" w:eastAsia="宋体" w:cs="Times New Roman"/>
          <w:i/>
          <w:snapToGrid w:val="0"/>
          <w:kern w:val="0"/>
          <w:sz w:val="24"/>
          <w:szCs w:val="28"/>
          <w:u w:val="single"/>
        </w:rPr>
        <w:t>J Proteome Res</w:t>
      </w:r>
      <w:r>
        <w:rPr>
          <w:rFonts w:ascii="Times New Roman" w:hAnsi="Times New Roman" w:eastAsia="宋体" w:cs="Times New Roman"/>
          <w:snapToGrid w:val="0"/>
          <w:kern w:val="0"/>
          <w:sz w:val="24"/>
          <w:szCs w:val="28"/>
        </w:rPr>
        <w:t>. 2022 May 6;21(5):1276-1284. doi: 10.1021/acs.jproteome.2c00027. Epub 2022 Mar 29. (IF: 4.5, 生物学2区)</w:t>
      </w:r>
    </w:p>
    <w:p>
      <w:pPr>
        <w:numPr>
          <w:ilvl w:val="0"/>
          <w:numId w:val="3"/>
        </w:numPr>
        <w:snapToGrid w:val="0"/>
        <w:spacing w:before="120" w:after="120"/>
        <w:jc w:val="left"/>
        <w:rPr>
          <w:rFonts w:ascii="Times New Roman" w:hAnsi="Times New Roman" w:eastAsia="宋体" w:cs="Times New Roman"/>
          <w:snapToGrid w:val="0"/>
          <w:kern w:val="0"/>
          <w:sz w:val="24"/>
          <w:szCs w:val="28"/>
        </w:rPr>
      </w:pPr>
      <w:r>
        <w:rPr>
          <w:rFonts w:ascii="Times New Roman" w:hAnsi="Times New Roman" w:eastAsia="宋体" w:cs="Times New Roman"/>
          <w:snapToGrid w:val="0"/>
          <w:kern w:val="0"/>
          <w:sz w:val="24"/>
          <w:szCs w:val="28"/>
        </w:rPr>
        <w:t>陈德柱，倪军，林夏雯，魏雪菲，周远洋，汪彦阳，</w:t>
      </w:r>
      <w:r>
        <w:rPr>
          <w:rFonts w:ascii="Times New Roman" w:hAnsi="Times New Roman" w:eastAsia="宋体" w:cs="Times New Roman"/>
          <w:b/>
          <w:snapToGrid w:val="0"/>
          <w:kern w:val="0"/>
          <w:sz w:val="24"/>
          <w:szCs w:val="28"/>
        </w:rPr>
        <w:t>柏兵</w:t>
      </w:r>
      <w:r>
        <w:rPr>
          <w:rFonts w:ascii="Times New Roman" w:hAnsi="Times New Roman" w:eastAsia="宋体" w:cs="Times New Roman"/>
          <w:snapToGrid w:val="0"/>
          <w:kern w:val="0"/>
          <w:sz w:val="24"/>
          <w:szCs w:val="28"/>
        </w:rPr>
        <w:t>*. 溶血标本中NSE等5项指标的检测及血清参考比色图的制备. 标记免疫分析与临床. 2022, 29(05): 847-851.</w:t>
      </w:r>
    </w:p>
    <w:p>
      <w:pPr>
        <w:numPr>
          <w:ilvl w:val="0"/>
          <w:numId w:val="3"/>
        </w:numPr>
        <w:snapToGrid w:val="0"/>
        <w:spacing w:before="120" w:after="120"/>
        <w:jc w:val="left"/>
        <w:rPr>
          <w:rFonts w:ascii="Times New Roman" w:hAnsi="Times New Roman" w:eastAsia="宋体" w:cs="Times New Roman"/>
          <w:snapToGrid w:val="0"/>
          <w:kern w:val="0"/>
          <w:sz w:val="24"/>
          <w:szCs w:val="28"/>
        </w:rPr>
      </w:pPr>
      <w:r>
        <w:rPr>
          <w:rFonts w:ascii="Times New Roman" w:hAnsi="Times New Roman" w:eastAsia="宋体" w:cs="Times New Roman"/>
          <w:snapToGrid w:val="0"/>
          <w:kern w:val="0"/>
          <w:sz w:val="24"/>
          <w:szCs w:val="28"/>
        </w:rPr>
        <w:t>倪军，顾寿永，汪彦阳，魏雪菲，周远洋，彭鲁，张葵，</w:t>
      </w:r>
      <w:r>
        <w:rPr>
          <w:rFonts w:ascii="Times New Roman" w:hAnsi="Times New Roman" w:eastAsia="宋体" w:cs="Times New Roman"/>
          <w:b/>
          <w:snapToGrid w:val="0"/>
          <w:kern w:val="0"/>
          <w:sz w:val="24"/>
          <w:szCs w:val="28"/>
        </w:rPr>
        <w:t>柏兵</w:t>
      </w:r>
      <w:r>
        <w:rPr>
          <w:rFonts w:ascii="Times New Roman" w:hAnsi="Times New Roman" w:eastAsia="宋体" w:cs="Times New Roman"/>
          <w:snapToGrid w:val="0"/>
          <w:kern w:val="0"/>
          <w:sz w:val="24"/>
          <w:szCs w:val="28"/>
        </w:rPr>
        <w:t xml:space="preserve">*. 溶血标本的CK-MB活性检测异常结果研究. </w:t>
      </w:r>
      <w:r>
        <w:rPr>
          <w:rFonts w:ascii="Times New Roman" w:hAnsi="Times New Roman" w:eastAsia="宋体" w:cs="Times New Roman"/>
          <w:i/>
          <w:snapToGrid w:val="0"/>
          <w:kern w:val="0"/>
          <w:sz w:val="24"/>
          <w:szCs w:val="28"/>
          <w:u w:val="single"/>
        </w:rPr>
        <w:t>东南大学学报(医学版)</w:t>
      </w:r>
      <w:r>
        <w:rPr>
          <w:rFonts w:ascii="Times New Roman" w:hAnsi="Times New Roman" w:eastAsia="宋体" w:cs="Times New Roman"/>
          <w:snapToGrid w:val="0"/>
          <w:kern w:val="0"/>
          <w:sz w:val="24"/>
          <w:szCs w:val="28"/>
        </w:rPr>
        <w:t>. 2022,41(01)</w:t>
      </w:r>
    </w:p>
    <w:p>
      <w:pPr>
        <w:numPr>
          <w:ilvl w:val="0"/>
          <w:numId w:val="3"/>
        </w:numPr>
        <w:snapToGrid w:val="0"/>
        <w:spacing w:before="120" w:after="120"/>
        <w:jc w:val="left"/>
        <w:rPr>
          <w:rFonts w:ascii="Times New Roman" w:hAnsi="Times New Roman" w:eastAsia="宋体" w:cs="Times New Roman"/>
          <w:snapToGrid w:val="0"/>
          <w:kern w:val="0"/>
          <w:sz w:val="24"/>
          <w:szCs w:val="28"/>
        </w:rPr>
      </w:pPr>
      <w:r>
        <w:rPr>
          <w:rFonts w:ascii="Times New Roman" w:hAnsi="Times New Roman" w:eastAsia="宋体" w:cs="Times New Roman"/>
          <w:b/>
          <w:snapToGrid w:val="0"/>
          <w:kern w:val="0"/>
          <w:sz w:val="24"/>
          <w:szCs w:val="28"/>
        </w:rPr>
        <w:t>Bing Bai</w:t>
      </w:r>
      <w:r>
        <w:rPr>
          <w:rFonts w:ascii="Times New Roman" w:hAnsi="Times New Roman" w:eastAsia="宋体" w:cs="Times New Roman"/>
          <w:snapToGrid w:val="0"/>
          <w:kern w:val="0"/>
          <w:sz w:val="24"/>
          <w:szCs w:val="28"/>
        </w:rPr>
        <w:t xml:space="preserve">, David Vanderwall, Yuxin Li, Xusheng Wang, Suresh Poudel, Hong Wang, Kaushik Kumar Dey, Ping-Chung Chen, Ka Yang, Junmin Peng. Proteomic landscape of Alzheimer's Disease: novel insights into pathogenesis and biomarker discovery. </w:t>
      </w:r>
      <w:r>
        <w:rPr>
          <w:rFonts w:ascii="Times New Roman" w:hAnsi="Times New Roman" w:eastAsia="宋体" w:cs="Times New Roman"/>
          <w:i/>
          <w:snapToGrid w:val="0"/>
          <w:kern w:val="0"/>
          <w:sz w:val="24"/>
          <w:szCs w:val="28"/>
          <w:u w:val="single"/>
        </w:rPr>
        <w:t>Molecular Neurodegeneration</w:t>
      </w:r>
      <w:r>
        <w:rPr>
          <w:rFonts w:ascii="Times New Roman" w:hAnsi="Times New Roman" w:eastAsia="宋体" w:cs="Times New Roman"/>
          <w:snapToGrid w:val="0"/>
          <w:kern w:val="0"/>
          <w:sz w:val="24"/>
          <w:szCs w:val="28"/>
        </w:rPr>
        <w:t>. 2021 Aug 12;16(1):55. doi: 10.1186/s13024-021-00474-z. (IF: 14.2, 医学1区)</w:t>
      </w:r>
    </w:p>
    <w:p>
      <w:pPr>
        <w:numPr>
          <w:ilvl w:val="0"/>
          <w:numId w:val="3"/>
        </w:numPr>
        <w:snapToGrid w:val="0"/>
        <w:spacing w:before="120" w:after="120"/>
        <w:jc w:val="left"/>
        <w:rPr>
          <w:rFonts w:ascii="Times New Roman" w:hAnsi="Times New Roman" w:eastAsia="宋体" w:cs="Times New Roman"/>
          <w:snapToGrid w:val="0"/>
          <w:kern w:val="0"/>
          <w:sz w:val="24"/>
          <w:szCs w:val="28"/>
          <w:lang w:eastAsia="en-US"/>
        </w:rPr>
      </w:pPr>
      <w:r>
        <w:rPr>
          <w:rFonts w:ascii="Times New Roman" w:hAnsi="Times New Roman" w:eastAsia="宋体" w:cs="Times New Roman"/>
          <w:b/>
          <w:snapToGrid w:val="0"/>
          <w:kern w:val="0"/>
          <w:sz w:val="24"/>
          <w:szCs w:val="28"/>
          <w:lang w:eastAsia="en-US"/>
        </w:rPr>
        <w:t>Bai B</w:t>
      </w:r>
      <w:r>
        <w:rPr>
          <w:rFonts w:ascii="Times New Roman" w:hAnsi="Times New Roman" w:eastAsia="宋体" w:cs="Times New Roman"/>
          <w:snapToGrid w:val="0"/>
          <w:kern w:val="0"/>
          <w:sz w:val="24"/>
          <w:szCs w:val="28"/>
          <w:lang w:eastAsia="en-US"/>
        </w:rPr>
        <w:t xml:space="preserve">, Wang X, Li Y, Chen PC, Yu K, Dey KK, Yarbro JM, Han X, Lutz BM, Rao S, Jiao Y, Sifford JM, Han J, Wang M, Tan H, Shaw TI, Cho JH, Zhou S, Wang H, Niu M, Mancieri A, Messler KA, Sun X, Wu Z, Pagala V, High AA, Bi W, Zhang H, Chi H, Haroutunian V, Zhang B, Beach TG, Yu G, Peng J.Deep Multilayer Brain Proteomics Identifies Molecular Networks in Alzheimer's Disease Progression. </w:t>
      </w:r>
      <w:r>
        <w:rPr>
          <w:rFonts w:ascii="Times New Roman" w:hAnsi="Times New Roman" w:eastAsia="宋体" w:cs="Times New Roman"/>
          <w:i/>
          <w:snapToGrid w:val="0"/>
          <w:kern w:val="0"/>
          <w:sz w:val="24"/>
          <w:szCs w:val="28"/>
          <w:u w:val="single"/>
          <w:lang w:eastAsia="en-US"/>
        </w:rPr>
        <w:t>Neuron</w:t>
      </w:r>
      <w:r>
        <w:rPr>
          <w:rFonts w:ascii="Times New Roman" w:hAnsi="Times New Roman" w:eastAsia="宋体" w:cs="Times New Roman"/>
          <w:snapToGrid w:val="0"/>
          <w:kern w:val="0"/>
          <w:sz w:val="24"/>
          <w:szCs w:val="28"/>
          <w:lang w:eastAsia="en-US"/>
        </w:rPr>
        <w:t xml:space="preserve">. 2020 May 20;106(4):700. </w:t>
      </w:r>
      <w:r>
        <w:rPr>
          <w:rFonts w:ascii="Times New Roman" w:hAnsi="Times New Roman" w:eastAsia="宋体" w:cs="Times New Roman"/>
          <w:snapToGrid w:val="0"/>
          <w:kern w:val="0"/>
          <w:sz w:val="24"/>
          <w:szCs w:val="28"/>
        </w:rPr>
        <w:t>(IF: 17.2，医学1区)</w:t>
      </w:r>
    </w:p>
    <w:p>
      <w:pPr>
        <w:numPr>
          <w:ilvl w:val="0"/>
          <w:numId w:val="3"/>
        </w:numPr>
        <w:snapToGrid w:val="0"/>
        <w:spacing w:before="120" w:after="120"/>
        <w:jc w:val="left"/>
        <w:rPr>
          <w:rFonts w:ascii="Times New Roman" w:hAnsi="Times New Roman" w:eastAsia="宋体" w:cs="Times New Roman"/>
          <w:snapToGrid w:val="0"/>
          <w:kern w:val="0"/>
          <w:sz w:val="24"/>
          <w:szCs w:val="28"/>
        </w:rPr>
      </w:pPr>
      <w:r>
        <w:rPr>
          <w:rFonts w:ascii="Times New Roman" w:hAnsi="Times New Roman" w:eastAsia="宋体" w:cs="Times New Roman"/>
          <w:snapToGrid w:val="0"/>
          <w:kern w:val="0"/>
          <w:sz w:val="24"/>
          <w:szCs w:val="28"/>
        </w:rPr>
        <w:t xml:space="preserve">Wenbo Zhu, Xuefei Wei, Yanyang Wang, Jingjing Li, Lu Peng, Kui Zhang*, </w:t>
      </w:r>
      <w:r>
        <w:rPr>
          <w:rFonts w:ascii="Times New Roman" w:hAnsi="Times New Roman" w:eastAsia="宋体" w:cs="Times New Roman"/>
          <w:b/>
          <w:snapToGrid w:val="0"/>
          <w:kern w:val="0"/>
          <w:sz w:val="24"/>
          <w:szCs w:val="28"/>
        </w:rPr>
        <w:t>Bing Bai</w:t>
      </w:r>
      <w:r>
        <w:rPr>
          <w:rFonts w:ascii="Times New Roman" w:hAnsi="Times New Roman" w:eastAsia="宋体" w:cs="Times New Roman"/>
          <w:snapToGrid w:val="0"/>
          <w:kern w:val="0"/>
          <w:sz w:val="24"/>
          <w:szCs w:val="28"/>
        </w:rPr>
        <w:t xml:space="preserve">*. Effects of U1 Small Nuclear Ribonucleoprotein Inhibition on the Expression of Genes Involved in Alzheimers Disease. </w:t>
      </w:r>
      <w:r>
        <w:rPr>
          <w:rFonts w:ascii="Times New Roman" w:hAnsi="Times New Roman" w:eastAsia="宋体" w:cs="Times New Roman"/>
          <w:i/>
          <w:snapToGrid w:val="0"/>
          <w:kern w:val="0"/>
          <w:sz w:val="24"/>
          <w:szCs w:val="28"/>
          <w:u w:val="single"/>
        </w:rPr>
        <w:t>ACS Omega</w:t>
      </w:r>
      <w:r>
        <w:rPr>
          <w:rFonts w:ascii="Times New Roman" w:hAnsi="Times New Roman" w:eastAsia="宋体" w:cs="Times New Roman"/>
          <w:snapToGrid w:val="0"/>
          <w:kern w:val="0"/>
          <w:sz w:val="24"/>
          <w:szCs w:val="28"/>
        </w:rPr>
        <w:t>. 2020 Sep 23;5(39):25306-25311. (IF: 2.87, 化学3区)</w:t>
      </w:r>
    </w:p>
    <w:p>
      <w:pPr>
        <w:numPr>
          <w:ilvl w:val="0"/>
          <w:numId w:val="3"/>
        </w:numPr>
        <w:snapToGrid w:val="0"/>
        <w:spacing w:before="120" w:after="120"/>
        <w:jc w:val="left"/>
        <w:rPr>
          <w:rFonts w:ascii="Times New Roman" w:hAnsi="Times New Roman" w:eastAsia="宋体" w:cs="Times New Roman"/>
          <w:snapToGrid w:val="0"/>
          <w:kern w:val="0"/>
          <w:sz w:val="24"/>
          <w:szCs w:val="28"/>
        </w:rPr>
      </w:pPr>
      <w:r>
        <w:rPr>
          <w:rFonts w:ascii="Times New Roman" w:hAnsi="Times New Roman" w:eastAsia="宋体" w:cs="Times New Roman"/>
          <w:snapToGrid w:val="0"/>
          <w:kern w:val="0"/>
          <w:sz w:val="24"/>
          <w:szCs w:val="28"/>
        </w:rPr>
        <w:t xml:space="preserve">Xuefei Wei, Yanyang Wang, Wenbo Zhu, Jingjing Li, Lu Peng, Zhiwei Gao*, </w:t>
      </w:r>
      <w:r>
        <w:rPr>
          <w:rFonts w:ascii="Times New Roman" w:hAnsi="Times New Roman" w:eastAsia="宋体" w:cs="Times New Roman"/>
          <w:b/>
          <w:snapToGrid w:val="0"/>
          <w:kern w:val="0"/>
          <w:sz w:val="24"/>
          <w:szCs w:val="28"/>
        </w:rPr>
        <w:t>Bing Bai*</w:t>
      </w:r>
      <w:r>
        <w:rPr>
          <w:rFonts w:ascii="Times New Roman" w:hAnsi="Times New Roman" w:eastAsia="宋体" w:cs="Times New Roman"/>
          <w:snapToGrid w:val="0"/>
          <w:kern w:val="0"/>
          <w:sz w:val="24"/>
          <w:szCs w:val="28"/>
        </w:rPr>
        <w:t xml:space="preserve">. Stable Plasma Sample Storage in Acetonitrile for Angiotensin and Aldosterone Analysis. </w:t>
      </w:r>
      <w:r>
        <w:rPr>
          <w:rFonts w:ascii="Times New Roman" w:hAnsi="Times New Roman" w:eastAsia="宋体" w:cs="Times New Roman"/>
          <w:i/>
          <w:snapToGrid w:val="0"/>
          <w:kern w:val="0"/>
          <w:sz w:val="24"/>
          <w:szCs w:val="28"/>
          <w:u w:val="single"/>
          <w:lang w:eastAsia="en-US"/>
        </w:rPr>
        <w:t xml:space="preserve">Laboratory Medicine. </w:t>
      </w:r>
      <w:r>
        <w:rPr>
          <w:rFonts w:ascii="Times New Roman" w:hAnsi="Times New Roman" w:eastAsia="宋体" w:cs="Times New Roman"/>
          <w:snapToGrid w:val="0"/>
          <w:kern w:val="0"/>
          <w:sz w:val="24"/>
          <w:szCs w:val="28"/>
          <w:lang w:eastAsia="en-US"/>
        </w:rPr>
        <w:t xml:space="preserve">2021 Jul 1;52(4):352-356. doi: 10.1093/labmed/lmaa079. (IF: 1.084, </w:t>
      </w:r>
      <w:r>
        <w:rPr>
          <w:rFonts w:ascii="Times New Roman" w:hAnsi="Times New Roman" w:eastAsia="宋体" w:cs="Times New Roman"/>
          <w:snapToGrid w:val="0"/>
          <w:kern w:val="0"/>
          <w:sz w:val="24"/>
          <w:szCs w:val="28"/>
        </w:rPr>
        <w:t>医学4区</w:t>
      </w:r>
      <w:r>
        <w:rPr>
          <w:rFonts w:ascii="Times New Roman" w:hAnsi="Times New Roman" w:eastAsia="宋体" w:cs="Times New Roman"/>
          <w:snapToGrid w:val="0"/>
          <w:kern w:val="0"/>
          <w:sz w:val="24"/>
          <w:szCs w:val="28"/>
          <w:lang w:eastAsia="en-US"/>
        </w:rPr>
        <w:t>)</w:t>
      </w:r>
    </w:p>
    <w:p>
      <w:pPr>
        <w:numPr>
          <w:ilvl w:val="0"/>
          <w:numId w:val="3"/>
        </w:numPr>
        <w:snapToGrid w:val="0"/>
        <w:spacing w:before="120" w:after="120"/>
        <w:jc w:val="left"/>
        <w:rPr>
          <w:rFonts w:ascii="Times New Roman" w:hAnsi="Times New Roman" w:eastAsia="宋体" w:cs="Times New Roman"/>
          <w:snapToGrid w:val="0"/>
          <w:kern w:val="0"/>
          <w:sz w:val="24"/>
          <w:szCs w:val="28"/>
        </w:rPr>
      </w:pPr>
      <w:r>
        <w:rPr>
          <w:rFonts w:ascii="Times New Roman" w:hAnsi="Times New Roman" w:eastAsia="宋体" w:cs="Times New Roman"/>
          <w:snapToGrid w:val="0"/>
          <w:kern w:val="0"/>
          <w:sz w:val="24"/>
          <w:szCs w:val="28"/>
        </w:rPr>
        <w:t xml:space="preserve">Jun Ni, Wenbo Zhu, Yanyang Wang, Xuefei Wei, Jingjing Li, Lu Peng, Kui Zhang*, </w:t>
      </w:r>
      <w:r>
        <w:rPr>
          <w:rFonts w:ascii="Times New Roman" w:hAnsi="Times New Roman" w:eastAsia="宋体" w:cs="Times New Roman"/>
          <w:b/>
          <w:snapToGrid w:val="0"/>
          <w:kern w:val="0"/>
          <w:sz w:val="24"/>
          <w:szCs w:val="28"/>
        </w:rPr>
        <w:t>Bing Bai*</w:t>
      </w:r>
      <w:r>
        <w:rPr>
          <w:rFonts w:ascii="Times New Roman" w:hAnsi="Times New Roman" w:eastAsia="宋体" w:cs="Times New Roman"/>
          <w:snapToGrid w:val="0"/>
          <w:kern w:val="0"/>
          <w:sz w:val="24"/>
          <w:szCs w:val="28"/>
        </w:rPr>
        <w:t xml:space="preserve">. A Reference Chart for Clinical Biochemical Tests of Hemolyzed Serum Samples. </w:t>
      </w:r>
      <w:r>
        <w:rPr>
          <w:rFonts w:ascii="Times New Roman" w:hAnsi="Times New Roman" w:eastAsia="宋体" w:cs="Times New Roman"/>
          <w:i/>
          <w:snapToGrid w:val="0"/>
          <w:kern w:val="0"/>
          <w:sz w:val="24"/>
          <w:szCs w:val="28"/>
          <w:u w:val="single"/>
          <w:lang w:eastAsia="en-US"/>
        </w:rPr>
        <w:t>Journal of Clinical Laboratory Analysis</w:t>
      </w:r>
      <w:r>
        <w:rPr>
          <w:rFonts w:ascii="Times New Roman" w:hAnsi="Times New Roman" w:eastAsia="宋体" w:cs="Times New Roman"/>
          <w:snapToGrid w:val="0"/>
          <w:kern w:val="0"/>
          <w:sz w:val="24"/>
          <w:szCs w:val="28"/>
          <w:lang w:eastAsia="en-US"/>
        </w:rPr>
        <w:t xml:space="preserve">. J Clin Lab Anal. 2020 Sep 2;e23561. doi: 10.1002/jcla.23561. (IF: 1.54, </w:t>
      </w:r>
      <w:r>
        <w:rPr>
          <w:rFonts w:ascii="Times New Roman" w:hAnsi="Times New Roman" w:eastAsia="宋体" w:cs="Times New Roman"/>
          <w:snapToGrid w:val="0"/>
          <w:kern w:val="0"/>
          <w:sz w:val="24"/>
          <w:szCs w:val="28"/>
        </w:rPr>
        <w:t>医学4区</w:t>
      </w:r>
      <w:r>
        <w:rPr>
          <w:rFonts w:ascii="Times New Roman" w:hAnsi="Times New Roman" w:eastAsia="宋体" w:cs="Times New Roman"/>
          <w:snapToGrid w:val="0"/>
          <w:kern w:val="0"/>
          <w:sz w:val="24"/>
          <w:szCs w:val="28"/>
          <w:lang w:eastAsia="en-US"/>
        </w:rPr>
        <w:t>)</w:t>
      </w:r>
    </w:p>
    <w:p>
      <w:pPr>
        <w:numPr>
          <w:ilvl w:val="0"/>
          <w:numId w:val="3"/>
        </w:numPr>
        <w:snapToGrid w:val="0"/>
        <w:spacing w:before="120" w:after="120"/>
        <w:jc w:val="left"/>
        <w:rPr>
          <w:rFonts w:ascii="Times New Roman" w:hAnsi="Times New Roman" w:eastAsia="宋体" w:cs="Times New Roman"/>
          <w:snapToGrid w:val="0"/>
          <w:kern w:val="0"/>
          <w:sz w:val="24"/>
          <w:szCs w:val="28"/>
        </w:rPr>
      </w:pPr>
      <w:r>
        <w:rPr>
          <w:rFonts w:ascii="Times New Roman" w:hAnsi="Times New Roman" w:eastAsia="宋体" w:cs="Times New Roman"/>
          <w:snapToGrid w:val="0"/>
          <w:kern w:val="0"/>
          <w:sz w:val="24"/>
          <w:szCs w:val="28"/>
        </w:rPr>
        <w:t>朱文波，许秦风，李晶晶，张葵，</w:t>
      </w:r>
      <w:r>
        <w:rPr>
          <w:rFonts w:ascii="Times New Roman" w:hAnsi="Times New Roman" w:eastAsia="宋体" w:cs="Times New Roman"/>
          <w:b/>
          <w:snapToGrid w:val="0"/>
          <w:kern w:val="0"/>
          <w:sz w:val="24"/>
          <w:szCs w:val="28"/>
        </w:rPr>
        <w:t>柏兵*</w:t>
      </w:r>
      <w:r>
        <w:rPr>
          <w:rFonts w:ascii="Times New Roman" w:hAnsi="Times New Roman" w:eastAsia="宋体" w:cs="Times New Roman"/>
          <w:snapToGrid w:val="0"/>
          <w:kern w:val="0"/>
          <w:sz w:val="24"/>
          <w:szCs w:val="28"/>
        </w:rPr>
        <w:t xml:space="preserve">. 阿尔茨海默病的实验室检测与分子影像学检查的研究进展. </w:t>
      </w:r>
      <w:r>
        <w:rPr>
          <w:rFonts w:ascii="Times New Roman" w:hAnsi="Times New Roman" w:eastAsia="宋体" w:cs="Times New Roman"/>
          <w:i/>
          <w:snapToGrid w:val="0"/>
          <w:kern w:val="0"/>
          <w:sz w:val="24"/>
          <w:szCs w:val="28"/>
          <w:u w:val="single"/>
        </w:rPr>
        <w:t>中华检验医学杂志</w:t>
      </w:r>
      <w:r>
        <w:rPr>
          <w:rFonts w:ascii="Times New Roman" w:hAnsi="Times New Roman" w:eastAsia="宋体" w:cs="Times New Roman"/>
          <w:snapToGrid w:val="0"/>
          <w:kern w:val="0"/>
          <w:sz w:val="24"/>
          <w:szCs w:val="28"/>
        </w:rPr>
        <w:t xml:space="preserve"> 2020, 43(3): 328-335.</w:t>
      </w:r>
    </w:p>
    <w:p>
      <w:pPr>
        <w:numPr>
          <w:ilvl w:val="0"/>
          <w:numId w:val="3"/>
        </w:numPr>
        <w:snapToGrid w:val="0"/>
        <w:spacing w:before="120" w:after="120"/>
        <w:jc w:val="left"/>
        <w:rPr>
          <w:rFonts w:ascii="Times New Roman" w:hAnsi="Times New Roman" w:eastAsia="宋体" w:cs="Times New Roman"/>
          <w:snapToGrid w:val="0"/>
          <w:kern w:val="0"/>
          <w:sz w:val="24"/>
          <w:szCs w:val="28"/>
        </w:rPr>
      </w:pPr>
      <w:r>
        <w:rPr>
          <w:rFonts w:ascii="Times New Roman" w:hAnsi="Times New Roman" w:eastAsia="宋体" w:cs="Times New Roman"/>
          <w:snapToGrid w:val="0"/>
          <w:kern w:val="0"/>
          <w:sz w:val="24"/>
          <w:szCs w:val="28"/>
        </w:rPr>
        <w:t>宁明哲，陶月，</w:t>
      </w:r>
      <w:r>
        <w:rPr>
          <w:rFonts w:ascii="Times New Roman" w:hAnsi="Times New Roman" w:eastAsia="宋体" w:cs="Times New Roman"/>
          <w:b/>
          <w:snapToGrid w:val="0"/>
          <w:kern w:val="0"/>
          <w:sz w:val="24"/>
          <w:szCs w:val="28"/>
        </w:rPr>
        <w:t>柏兵*</w:t>
      </w:r>
      <w:r>
        <w:rPr>
          <w:rFonts w:ascii="Times New Roman" w:hAnsi="Times New Roman" w:eastAsia="宋体" w:cs="Times New Roman"/>
          <w:snapToGrid w:val="0"/>
          <w:kern w:val="0"/>
          <w:sz w:val="24"/>
          <w:szCs w:val="28"/>
        </w:rPr>
        <w:t xml:space="preserve">. 新型冠状病毒特异性抗体检测的问题探讨. </w:t>
      </w:r>
      <w:r>
        <w:rPr>
          <w:rFonts w:ascii="Times New Roman" w:hAnsi="Times New Roman" w:eastAsia="宋体" w:cs="Times New Roman"/>
          <w:i/>
          <w:snapToGrid w:val="0"/>
          <w:kern w:val="0"/>
          <w:sz w:val="24"/>
          <w:szCs w:val="28"/>
          <w:u w:val="single"/>
        </w:rPr>
        <w:t>现代检验医学杂志</w:t>
      </w:r>
      <w:r>
        <w:rPr>
          <w:rFonts w:ascii="Times New Roman" w:hAnsi="Times New Roman" w:eastAsia="宋体" w:cs="Times New Roman"/>
          <w:snapToGrid w:val="0"/>
          <w:kern w:val="0"/>
          <w:sz w:val="24"/>
          <w:szCs w:val="28"/>
        </w:rPr>
        <w:t>. 2020年, 35(5).</w:t>
      </w:r>
    </w:p>
    <w:p>
      <w:pPr>
        <w:numPr>
          <w:ilvl w:val="0"/>
          <w:numId w:val="3"/>
        </w:numPr>
        <w:snapToGrid w:val="0"/>
        <w:spacing w:before="120" w:after="120"/>
        <w:jc w:val="left"/>
        <w:rPr>
          <w:rFonts w:ascii="Times New Roman" w:hAnsi="Times New Roman" w:eastAsia="宋体" w:cs="Times New Roman"/>
          <w:snapToGrid w:val="0"/>
          <w:kern w:val="0"/>
          <w:sz w:val="24"/>
          <w:szCs w:val="28"/>
        </w:rPr>
      </w:pPr>
      <w:r>
        <w:rPr>
          <w:rFonts w:ascii="Times New Roman" w:hAnsi="Times New Roman" w:eastAsia="宋体" w:cs="Times New Roman"/>
          <w:snapToGrid w:val="0"/>
          <w:kern w:val="0"/>
          <w:sz w:val="24"/>
          <w:szCs w:val="28"/>
        </w:rPr>
        <w:t>贾佳，潘婕，倪军，王森，徐志晔，</w:t>
      </w:r>
      <w:r>
        <w:rPr>
          <w:rFonts w:ascii="Times New Roman" w:hAnsi="Times New Roman" w:eastAsia="宋体" w:cs="Times New Roman"/>
          <w:b/>
          <w:snapToGrid w:val="0"/>
          <w:kern w:val="0"/>
          <w:sz w:val="24"/>
          <w:szCs w:val="28"/>
        </w:rPr>
        <w:t>柏兵*</w:t>
      </w:r>
      <w:r>
        <w:rPr>
          <w:rFonts w:ascii="Times New Roman" w:hAnsi="Times New Roman" w:eastAsia="宋体" w:cs="Times New Roman"/>
          <w:snapToGrid w:val="0"/>
          <w:kern w:val="0"/>
          <w:sz w:val="24"/>
          <w:szCs w:val="28"/>
        </w:rPr>
        <w:t xml:space="preserve">. 快速凝胶荧光染色法在尿液蛋白电泳分析中的应用. </w:t>
      </w:r>
      <w:r>
        <w:rPr>
          <w:rFonts w:ascii="Times New Roman" w:hAnsi="Times New Roman" w:eastAsia="宋体" w:cs="Times New Roman"/>
          <w:i/>
          <w:snapToGrid w:val="0"/>
          <w:kern w:val="0"/>
          <w:sz w:val="24"/>
          <w:szCs w:val="28"/>
          <w:u w:val="single"/>
        </w:rPr>
        <w:t>检验医学</w:t>
      </w:r>
      <w:r>
        <w:rPr>
          <w:rFonts w:ascii="Times New Roman" w:hAnsi="Times New Roman" w:eastAsia="宋体" w:cs="Times New Roman"/>
          <w:snapToGrid w:val="0"/>
          <w:kern w:val="0"/>
          <w:sz w:val="24"/>
          <w:szCs w:val="28"/>
        </w:rPr>
        <w:t xml:space="preserve"> 2020 年8 月, 35(8).</w:t>
      </w:r>
    </w:p>
    <w:p>
      <w:pPr>
        <w:numPr>
          <w:ilvl w:val="0"/>
          <w:numId w:val="3"/>
        </w:numPr>
        <w:snapToGrid w:val="0"/>
        <w:spacing w:before="120" w:after="120"/>
        <w:jc w:val="left"/>
        <w:rPr>
          <w:rFonts w:ascii="Times New Roman" w:hAnsi="Times New Roman" w:eastAsia="宋体" w:cs="Times New Roman"/>
          <w:snapToGrid w:val="0"/>
          <w:kern w:val="0"/>
          <w:sz w:val="24"/>
          <w:szCs w:val="28"/>
        </w:rPr>
      </w:pPr>
      <w:r>
        <w:rPr>
          <w:rFonts w:ascii="Times New Roman" w:hAnsi="Times New Roman" w:eastAsia="宋体" w:cs="Times New Roman"/>
          <w:snapToGrid w:val="0"/>
          <w:kern w:val="0"/>
          <w:sz w:val="24"/>
          <w:szCs w:val="28"/>
        </w:rPr>
        <w:t xml:space="preserve">Wang H, Dey KK, Chen PC, Li Y, Niu M, Cho JH, Wang X, </w:t>
      </w:r>
      <w:r>
        <w:rPr>
          <w:rFonts w:ascii="Times New Roman" w:hAnsi="Times New Roman" w:eastAsia="宋体" w:cs="Times New Roman"/>
          <w:b/>
          <w:snapToGrid w:val="0"/>
          <w:kern w:val="0"/>
          <w:sz w:val="24"/>
          <w:szCs w:val="28"/>
        </w:rPr>
        <w:t>Bai B</w:t>
      </w:r>
      <w:r>
        <w:rPr>
          <w:rFonts w:ascii="Times New Roman" w:hAnsi="Times New Roman" w:eastAsia="宋体" w:cs="Times New Roman"/>
          <w:snapToGrid w:val="0"/>
          <w:kern w:val="0"/>
          <w:sz w:val="24"/>
          <w:szCs w:val="28"/>
        </w:rPr>
        <w:t>, Jiao Y, Chepyala SR, Haroutunian V, Zhang B, Beach TG, Peng J. Integrated analysis of ultra-deep proteomes in cortex, cerebrospinal fluid and serum reveals a mitochondrial signature in Alzheimer's disease.</w:t>
      </w:r>
      <w:r>
        <w:rPr>
          <w:rFonts w:ascii="Times New Roman" w:hAnsi="Times New Roman" w:eastAsia="宋体" w:cs="Times New Roman"/>
          <w:i/>
          <w:snapToGrid w:val="0"/>
          <w:kern w:val="0"/>
          <w:sz w:val="24"/>
          <w:szCs w:val="28"/>
          <w:u w:val="single"/>
        </w:rPr>
        <w:t>Mol Neurodegener.</w:t>
      </w:r>
      <w:r>
        <w:rPr>
          <w:rFonts w:ascii="Times New Roman" w:hAnsi="Times New Roman" w:eastAsia="宋体" w:cs="Times New Roman"/>
          <w:snapToGrid w:val="0"/>
          <w:kern w:val="0"/>
          <w:sz w:val="24"/>
          <w:szCs w:val="28"/>
        </w:rPr>
        <w:t xml:space="preserve"> 2020 Jul 25;15(1):43. doi: 10.1186/s13024-020-00384-6.</w:t>
      </w:r>
    </w:p>
    <w:p>
      <w:pPr>
        <w:numPr>
          <w:ilvl w:val="0"/>
          <w:numId w:val="3"/>
        </w:numPr>
        <w:snapToGrid w:val="0"/>
        <w:spacing w:before="120" w:after="120"/>
        <w:jc w:val="left"/>
        <w:rPr>
          <w:rFonts w:ascii="Times New Roman" w:hAnsi="Times New Roman" w:eastAsia="宋体" w:cs="Times New Roman"/>
          <w:snapToGrid w:val="0"/>
          <w:kern w:val="0"/>
          <w:sz w:val="24"/>
          <w:szCs w:val="28"/>
          <w:lang w:eastAsia="en-US"/>
        </w:rPr>
      </w:pPr>
      <w:r>
        <w:rPr>
          <w:rFonts w:ascii="Times New Roman" w:hAnsi="Times New Roman" w:eastAsia="宋体" w:cs="Times New Roman"/>
          <w:snapToGrid w:val="0"/>
          <w:kern w:val="0"/>
          <w:sz w:val="24"/>
          <w:szCs w:val="28"/>
          <w:lang w:eastAsia="en-US"/>
        </w:rPr>
        <w:t xml:space="preserve">Wang S, Qiu Y, </w:t>
      </w:r>
      <w:r>
        <w:rPr>
          <w:rFonts w:ascii="Times New Roman" w:hAnsi="Times New Roman" w:eastAsia="宋体" w:cs="Times New Roman"/>
          <w:b/>
          <w:snapToGrid w:val="0"/>
          <w:kern w:val="0"/>
          <w:sz w:val="24"/>
          <w:szCs w:val="28"/>
          <w:lang w:eastAsia="en-US"/>
        </w:rPr>
        <w:t>Bai B</w:t>
      </w:r>
      <w:r>
        <w:rPr>
          <w:rFonts w:ascii="Times New Roman" w:hAnsi="Times New Roman" w:eastAsia="宋体" w:cs="Times New Roman"/>
          <w:b/>
          <w:snapToGrid w:val="0"/>
          <w:kern w:val="0"/>
          <w:sz w:val="24"/>
          <w:szCs w:val="28"/>
        </w:rPr>
        <w:t>*</w:t>
      </w:r>
      <w:r>
        <w:rPr>
          <w:rFonts w:ascii="Times New Roman" w:hAnsi="Times New Roman" w:eastAsia="宋体" w:cs="Times New Roman"/>
          <w:snapToGrid w:val="0"/>
          <w:kern w:val="0"/>
          <w:sz w:val="24"/>
          <w:szCs w:val="28"/>
        </w:rPr>
        <w:t xml:space="preserve">. </w:t>
      </w:r>
      <w:r>
        <w:rPr>
          <w:rFonts w:ascii="Times New Roman" w:hAnsi="Times New Roman" w:eastAsia="宋体" w:cs="Times New Roman"/>
          <w:snapToGrid w:val="0"/>
          <w:kern w:val="0"/>
          <w:sz w:val="24"/>
          <w:szCs w:val="28"/>
          <w:lang w:eastAsia="en-US"/>
        </w:rPr>
        <w:t xml:space="preserve">The Expression, Regulation and Biomarker Potential of Glypican-1 in Cancer. </w:t>
      </w:r>
      <w:r>
        <w:rPr>
          <w:rFonts w:ascii="Times New Roman" w:hAnsi="Times New Roman" w:eastAsia="宋体" w:cs="Times New Roman"/>
          <w:i/>
          <w:snapToGrid w:val="0"/>
          <w:kern w:val="0"/>
          <w:sz w:val="24"/>
          <w:szCs w:val="28"/>
          <w:u w:val="single"/>
          <w:lang w:eastAsia="en-US"/>
        </w:rPr>
        <w:t>Frontiers in Oncology</w:t>
      </w:r>
      <w:r>
        <w:rPr>
          <w:rFonts w:ascii="Times New Roman" w:hAnsi="Times New Roman" w:eastAsia="宋体" w:cs="Times New Roman"/>
          <w:snapToGrid w:val="0"/>
          <w:kern w:val="0"/>
          <w:sz w:val="24"/>
          <w:szCs w:val="28"/>
          <w:lang w:eastAsia="en-US"/>
        </w:rPr>
        <w:t xml:space="preserve">. 2019July,9: 614. (IF: 4.13, </w:t>
      </w:r>
      <w:r>
        <w:rPr>
          <w:rFonts w:ascii="Times New Roman" w:hAnsi="Times New Roman" w:eastAsia="宋体" w:cs="Times New Roman"/>
          <w:snapToGrid w:val="0"/>
          <w:kern w:val="0"/>
          <w:sz w:val="24"/>
          <w:szCs w:val="28"/>
        </w:rPr>
        <w:t>医学3区</w:t>
      </w:r>
      <w:r>
        <w:rPr>
          <w:rFonts w:ascii="Times New Roman" w:hAnsi="Times New Roman" w:eastAsia="宋体" w:cs="Times New Roman"/>
          <w:snapToGrid w:val="0"/>
          <w:kern w:val="0"/>
          <w:sz w:val="24"/>
          <w:szCs w:val="28"/>
          <w:lang w:eastAsia="en-US"/>
        </w:rPr>
        <w:t>)</w:t>
      </w:r>
    </w:p>
    <w:p>
      <w:pPr>
        <w:numPr>
          <w:ilvl w:val="0"/>
          <w:numId w:val="3"/>
        </w:numPr>
        <w:snapToGrid w:val="0"/>
        <w:spacing w:before="120" w:after="120"/>
        <w:jc w:val="left"/>
        <w:rPr>
          <w:rFonts w:ascii="Times New Roman" w:hAnsi="Times New Roman" w:eastAsia="宋体" w:cs="Times New Roman"/>
          <w:snapToGrid w:val="0"/>
          <w:kern w:val="0"/>
          <w:sz w:val="24"/>
          <w:szCs w:val="28"/>
          <w:lang w:eastAsia="en-US"/>
        </w:rPr>
      </w:pPr>
      <w:r>
        <w:rPr>
          <w:rFonts w:ascii="Times New Roman" w:hAnsi="Times New Roman" w:eastAsia="宋体" w:cs="Times New Roman"/>
          <w:b/>
          <w:snapToGrid w:val="0"/>
          <w:kern w:val="0"/>
          <w:sz w:val="24"/>
          <w:szCs w:val="28"/>
          <w:lang w:eastAsia="en-US"/>
        </w:rPr>
        <w:t>Bai B</w:t>
      </w:r>
      <w:r>
        <w:rPr>
          <w:rFonts w:ascii="Times New Roman" w:hAnsi="Times New Roman" w:eastAsia="宋体" w:cs="Times New Roman"/>
          <w:b/>
          <w:snapToGrid w:val="0"/>
          <w:kern w:val="0"/>
          <w:sz w:val="24"/>
          <w:szCs w:val="28"/>
        </w:rPr>
        <w:t>*</w:t>
      </w:r>
      <w:r>
        <w:rPr>
          <w:rFonts w:ascii="Times New Roman" w:hAnsi="Times New Roman" w:eastAsia="宋体" w:cs="Times New Roman"/>
          <w:snapToGrid w:val="0"/>
          <w:kern w:val="0"/>
          <w:sz w:val="24"/>
          <w:szCs w:val="28"/>
          <w:lang w:eastAsia="en-US"/>
        </w:rPr>
        <w:t xml:space="preserve">. U1 snRNP Alteration and Neuronal Cell Cycle Reentry in Alzheimer Disease. </w:t>
      </w:r>
      <w:r>
        <w:rPr>
          <w:rFonts w:ascii="Times New Roman" w:hAnsi="Times New Roman" w:eastAsia="宋体" w:cs="Times New Roman"/>
          <w:i/>
          <w:snapToGrid w:val="0"/>
          <w:kern w:val="0"/>
          <w:sz w:val="24"/>
          <w:szCs w:val="28"/>
          <w:u w:val="single"/>
          <w:lang w:eastAsia="en-US"/>
        </w:rPr>
        <w:t>Frontiers in Aging Neuroscience</w:t>
      </w:r>
      <w:r>
        <w:rPr>
          <w:rFonts w:ascii="Times New Roman" w:hAnsi="Times New Roman" w:eastAsia="宋体" w:cs="Times New Roman"/>
          <w:i/>
          <w:snapToGrid w:val="0"/>
          <w:kern w:val="0"/>
          <w:sz w:val="24"/>
          <w:szCs w:val="28"/>
          <w:u w:val="single"/>
        </w:rPr>
        <w:t xml:space="preserve">, </w:t>
      </w:r>
      <w:r>
        <w:rPr>
          <w:rFonts w:ascii="Times New Roman" w:hAnsi="Times New Roman" w:eastAsia="宋体" w:cs="Times New Roman"/>
          <w:snapToGrid w:val="0"/>
          <w:kern w:val="0"/>
          <w:sz w:val="24"/>
          <w:szCs w:val="28"/>
          <w:lang w:eastAsia="en-US"/>
        </w:rPr>
        <w:t xml:space="preserve">2018 March, 10: 75. (IF: 3.6, </w:t>
      </w:r>
      <w:r>
        <w:rPr>
          <w:rFonts w:ascii="Times New Roman" w:hAnsi="Times New Roman" w:eastAsia="宋体" w:cs="Times New Roman"/>
          <w:snapToGrid w:val="0"/>
          <w:kern w:val="0"/>
          <w:sz w:val="24"/>
          <w:szCs w:val="28"/>
        </w:rPr>
        <w:t>医学2区</w:t>
      </w:r>
      <w:r>
        <w:rPr>
          <w:rFonts w:ascii="Times New Roman" w:hAnsi="Times New Roman" w:eastAsia="宋体" w:cs="Times New Roman"/>
          <w:snapToGrid w:val="0"/>
          <w:kern w:val="0"/>
          <w:sz w:val="24"/>
          <w:szCs w:val="28"/>
          <w:lang w:eastAsia="en-US"/>
        </w:rPr>
        <w:t>)</w:t>
      </w:r>
    </w:p>
    <w:p>
      <w:pPr>
        <w:numPr>
          <w:ilvl w:val="0"/>
          <w:numId w:val="3"/>
        </w:numPr>
        <w:snapToGrid w:val="0"/>
        <w:spacing w:before="120" w:after="120"/>
        <w:jc w:val="left"/>
        <w:rPr>
          <w:rFonts w:ascii="Times New Roman" w:hAnsi="Times New Roman" w:eastAsia="宋体" w:cs="Times New Roman"/>
          <w:snapToGrid w:val="0"/>
          <w:kern w:val="0"/>
          <w:sz w:val="24"/>
          <w:szCs w:val="28"/>
          <w:lang w:eastAsia="en-US"/>
        </w:rPr>
      </w:pPr>
      <w:r>
        <w:rPr>
          <w:rFonts w:ascii="Times New Roman" w:hAnsi="Times New Roman" w:eastAsia="宋体" w:cs="Times New Roman"/>
          <w:b/>
          <w:snapToGrid w:val="0"/>
          <w:kern w:val="0"/>
          <w:sz w:val="24"/>
          <w:szCs w:val="28"/>
          <w:lang w:eastAsia="en-US"/>
        </w:rPr>
        <w:t>Bai B</w:t>
      </w:r>
      <w:r>
        <w:rPr>
          <w:rFonts w:ascii="Times New Roman" w:hAnsi="Times New Roman" w:eastAsia="宋体" w:cs="Times New Roman"/>
          <w:b/>
          <w:snapToGrid w:val="0"/>
          <w:kern w:val="0"/>
          <w:sz w:val="24"/>
          <w:szCs w:val="28"/>
        </w:rPr>
        <w:t>*</w:t>
      </w:r>
      <w:r>
        <w:rPr>
          <w:rFonts w:ascii="Times New Roman" w:hAnsi="Times New Roman" w:eastAsia="宋体" w:cs="Times New Roman"/>
          <w:snapToGrid w:val="0"/>
          <w:kern w:val="0"/>
          <w:sz w:val="24"/>
          <w:szCs w:val="28"/>
          <w:lang w:eastAsia="en-US"/>
        </w:rPr>
        <w:t xml:space="preserve">, Wang S, Chen Y, Jia J, Tian X, Liu C, Xia Y, Xie H. Effects of RNA Splicing Inhibitors on Amyloid Precursor Protein Expression. </w:t>
      </w:r>
      <w:r>
        <w:rPr>
          <w:rFonts w:ascii="Times New Roman" w:hAnsi="Times New Roman" w:eastAsia="宋体" w:cs="Times New Roman"/>
          <w:i/>
          <w:snapToGrid w:val="0"/>
          <w:kern w:val="0"/>
          <w:sz w:val="24"/>
          <w:szCs w:val="28"/>
          <w:u w:val="single"/>
          <w:lang w:eastAsia="en-US"/>
        </w:rPr>
        <w:t>ACS Omega</w:t>
      </w:r>
      <w:r>
        <w:rPr>
          <w:rFonts w:ascii="Times New Roman" w:hAnsi="Times New Roman" w:eastAsia="宋体" w:cs="Times New Roman"/>
          <w:snapToGrid w:val="0"/>
          <w:kern w:val="0"/>
          <w:sz w:val="24"/>
          <w:szCs w:val="28"/>
          <w:lang w:eastAsia="en-US"/>
        </w:rPr>
        <w:t xml:space="preserve">, 2018 March 8, 3 (3): 2798-2803. </w:t>
      </w:r>
      <w:r>
        <w:rPr>
          <w:rFonts w:ascii="Times New Roman" w:hAnsi="Times New Roman" w:eastAsia="宋体" w:cs="Times New Roman"/>
          <w:snapToGrid w:val="0"/>
          <w:kern w:val="0"/>
          <w:sz w:val="24"/>
          <w:szCs w:val="28"/>
        </w:rPr>
        <w:t>(IF: 2.6, 化学3区)</w:t>
      </w:r>
    </w:p>
    <w:p>
      <w:pPr>
        <w:numPr>
          <w:ilvl w:val="0"/>
          <w:numId w:val="3"/>
        </w:numPr>
        <w:snapToGrid w:val="0"/>
        <w:spacing w:before="120" w:after="120"/>
        <w:jc w:val="left"/>
        <w:rPr>
          <w:rFonts w:ascii="Times New Roman" w:hAnsi="Times New Roman" w:eastAsia="宋体" w:cs="Times New Roman"/>
          <w:snapToGrid w:val="0"/>
          <w:kern w:val="0"/>
          <w:sz w:val="24"/>
          <w:szCs w:val="28"/>
          <w:lang w:eastAsia="en-US"/>
        </w:rPr>
      </w:pPr>
      <w:r>
        <w:rPr>
          <w:rFonts w:ascii="Times New Roman" w:hAnsi="Times New Roman" w:eastAsia="宋体" w:cs="Times New Roman"/>
          <w:snapToGrid w:val="0"/>
          <w:kern w:val="0"/>
          <w:sz w:val="24"/>
          <w:szCs w:val="28"/>
          <w:lang w:eastAsia="en-US"/>
        </w:rPr>
        <w:t xml:space="preserve">Ning M, Chen Y, Zheng Q, Jia J, </w:t>
      </w:r>
      <w:r>
        <w:rPr>
          <w:rFonts w:ascii="Times New Roman" w:hAnsi="Times New Roman" w:eastAsia="宋体" w:cs="Times New Roman"/>
          <w:b/>
          <w:snapToGrid w:val="0"/>
          <w:kern w:val="0"/>
          <w:sz w:val="24"/>
          <w:szCs w:val="28"/>
          <w:lang w:eastAsia="en-US"/>
        </w:rPr>
        <w:t>Bai B</w:t>
      </w:r>
      <w:r>
        <w:rPr>
          <w:rFonts w:ascii="Times New Roman" w:hAnsi="Times New Roman" w:eastAsia="宋体" w:cs="Times New Roman"/>
          <w:b/>
          <w:snapToGrid w:val="0"/>
          <w:kern w:val="0"/>
          <w:sz w:val="24"/>
          <w:szCs w:val="28"/>
        </w:rPr>
        <w:t>*</w:t>
      </w:r>
      <w:r>
        <w:rPr>
          <w:rFonts w:ascii="Times New Roman" w:hAnsi="Times New Roman" w:eastAsia="宋体" w:cs="Times New Roman"/>
          <w:snapToGrid w:val="0"/>
          <w:kern w:val="0"/>
          <w:sz w:val="24"/>
          <w:szCs w:val="28"/>
          <w:lang w:eastAsia="en-US"/>
        </w:rPr>
        <w:t>. Insignificant interference of Elevit in pregnant women serum samples with HBsAg immunoassay on Sysmex</w:t>
      </w:r>
      <w:r>
        <w:rPr>
          <w:rFonts w:ascii="Times New Roman" w:hAnsi="Times New Roman" w:eastAsia="宋体" w:cs="Times New Roman"/>
          <w:snapToGrid w:val="0"/>
          <w:kern w:val="0"/>
          <w:sz w:val="24"/>
          <w:szCs w:val="28"/>
        </w:rPr>
        <w:t>.</w:t>
      </w:r>
      <w:r>
        <w:rPr>
          <w:rFonts w:ascii="Times New Roman" w:hAnsi="Times New Roman" w:eastAsia="宋体" w:cs="Times New Roman"/>
          <w:i/>
          <w:snapToGrid w:val="0"/>
          <w:kern w:val="0"/>
          <w:sz w:val="24"/>
          <w:szCs w:val="28"/>
          <w:u w:val="single"/>
          <w:lang w:eastAsia="en-US"/>
        </w:rPr>
        <w:t>Journal of Clinical Laboratory Analysis</w:t>
      </w:r>
      <w:r>
        <w:rPr>
          <w:rFonts w:ascii="Times New Roman" w:hAnsi="Times New Roman" w:eastAsia="宋体" w:cs="Times New Roman"/>
          <w:snapToGrid w:val="0"/>
          <w:kern w:val="0"/>
          <w:sz w:val="24"/>
          <w:szCs w:val="28"/>
          <w:lang w:eastAsia="en-US"/>
        </w:rPr>
        <w:t xml:space="preserve">. 2018 Nov 21:e22725. doi: 10.1002/jcla.22725. </w:t>
      </w:r>
      <w:r>
        <w:rPr>
          <w:rFonts w:ascii="Times New Roman" w:hAnsi="Times New Roman" w:eastAsia="宋体" w:cs="Times New Roman"/>
          <w:snapToGrid w:val="0"/>
          <w:kern w:val="0"/>
          <w:sz w:val="24"/>
          <w:szCs w:val="28"/>
        </w:rPr>
        <w:t>(IF: 1.3)</w:t>
      </w:r>
      <w:r>
        <w:rPr>
          <w:rFonts w:ascii="Times New Roman" w:hAnsi="Times New Roman" w:eastAsia="宋体" w:cs="Times New Roman"/>
          <w:snapToGrid w:val="0"/>
          <w:kern w:val="0"/>
          <w:sz w:val="24"/>
          <w:szCs w:val="28"/>
          <w:lang w:eastAsia="en-US"/>
        </w:rPr>
        <w:t xml:space="preserve"> (IF: 1.54, </w:t>
      </w:r>
      <w:r>
        <w:rPr>
          <w:rFonts w:ascii="Times New Roman" w:hAnsi="Times New Roman" w:eastAsia="宋体" w:cs="Times New Roman"/>
          <w:snapToGrid w:val="0"/>
          <w:kern w:val="0"/>
          <w:sz w:val="24"/>
          <w:szCs w:val="28"/>
        </w:rPr>
        <w:t>医学4区</w:t>
      </w:r>
      <w:r>
        <w:rPr>
          <w:rFonts w:ascii="Times New Roman" w:hAnsi="Times New Roman" w:eastAsia="宋体" w:cs="Times New Roman"/>
          <w:snapToGrid w:val="0"/>
          <w:kern w:val="0"/>
          <w:sz w:val="24"/>
          <w:szCs w:val="28"/>
          <w:lang w:eastAsia="en-US"/>
        </w:rPr>
        <w:t>)</w:t>
      </w:r>
    </w:p>
    <w:p>
      <w:pPr>
        <w:numPr>
          <w:ilvl w:val="0"/>
          <w:numId w:val="3"/>
        </w:numPr>
        <w:snapToGrid w:val="0"/>
        <w:spacing w:before="120" w:after="120"/>
        <w:jc w:val="left"/>
        <w:rPr>
          <w:rFonts w:ascii="Times New Roman" w:hAnsi="Times New Roman" w:eastAsia="宋体" w:cs="Times New Roman"/>
          <w:snapToGrid w:val="0"/>
          <w:kern w:val="0"/>
          <w:sz w:val="24"/>
          <w:szCs w:val="28"/>
          <w:lang w:eastAsia="en-US"/>
        </w:rPr>
      </w:pPr>
      <w:r>
        <w:rPr>
          <w:rFonts w:ascii="Times New Roman" w:hAnsi="Times New Roman" w:eastAsia="宋体" w:cs="Times New Roman"/>
          <w:snapToGrid w:val="0"/>
          <w:kern w:val="0"/>
          <w:sz w:val="24"/>
          <w:szCs w:val="28"/>
          <w:lang w:eastAsia="en-US"/>
        </w:rPr>
        <w:t xml:space="preserve">Jia J, Pan J, Xu H, Wang S, </w:t>
      </w:r>
      <w:r>
        <w:rPr>
          <w:rFonts w:ascii="Times New Roman" w:hAnsi="Times New Roman" w:eastAsia="宋体" w:cs="Times New Roman"/>
          <w:b/>
          <w:snapToGrid w:val="0"/>
          <w:kern w:val="0"/>
          <w:sz w:val="24"/>
          <w:szCs w:val="28"/>
          <w:lang w:eastAsia="en-US"/>
        </w:rPr>
        <w:t>Bai B</w:t>
      </w:r>
      <w:r>
        <w:rPr>
          <w:rFonts w:ascii="Times New Roman" w:hAnsi="Times New Roman" w:eastAsia="宋体" w:cs="Times New Roman"/>
          <w:b/>
          <w:snapToGrid w:val="0"/>
          <w:kern w:val="0"/>
          <w:sz w:val="24"/>
          <w:szCs w:val="28"/>
        </w:rPr>
        <w:t>*</w:t>
      </w:r>
      <w:r>
        <w:rPr>
          <w:rFonts w:ascii="Times New Roman" w:hAnsi="Times New Roman" w:eastAsia="宋体" w:cs="Times New Roman"/>
          <w:snapToGrid w:val="0"/>
          <w:kern w:val="0"/>
          <w:sz w:val="24"/>
          <w:szCs w:val="28"/>
          <w:lang w:eastAsia="en-US"/>
        </w:rPr>
        <w:t>. Urine protein quantification in stacking gel by SDS-PAGE.</w:t>
      </w:r>
      <w:r>
        <w:rPr>
          <w:rFonts w:ascii="Times New Roman" w:hAnsi="Times New Roman" w:eastAsia="宋体" w:cs="Times New Roman"/>
          <w:i/>
          <w:snapToGrid w:val="0"/>
          <w:kern w:val="0"/>
          <w:sz w:val="24"/>
          <w:szCs w:val="28"/>
          <w:u w:val="single"/>
          <w:lang w:eastAsia="en-US"/>
        </w:rPr>
        <w:t>Electrophoresis</w:t>
      </w:r>
      <w:r>
        <w:rPr>
          <w:rFonts w:ascii="Times New Roman" w:hAnsi="Times New Roman" w:eastAsia="宋体" w:cs="Times New Roman"/>
          <w:snapToGrid w:val="0"/>
          <w:kern w:val="0"/>
          <w:sz w:val="24"/>
          <w:szCs w:val="28"/>
          <w:lang w:eastAsia="en-US"/>
        </w:rPr>
        <w:t xml:space="preserve">. 2018 Nov 15. doi: 10.1002/elps.201800379. </w:t>
      </w:r>
      <w:r>
        <w:rPr>
          <w:rFonts w:ascii="Times New Roman" w:hAnsi="Times New Roman" w:eastAsia="宋体" w:cs="Times New Roman"/>
          <w:snapToGrid w:val="0"/>
          <w:kern w:val="0"/>
          <w:sz w:val="24"/>
          <w:szCs w:val="28"/>
        </w:rPr>
        <w:t>(IF: 2.6, 生物学3区)</w:t>
      </w:r>
    </w:p>
    <w:p>
      <w:pPr>
        <w:numPr>
          <w:ilvl w:val="0"/>
          <w:numId w:val="3"/>
        </w:numPr>
        <w:snapToGrid w:val="0"/>
        <w:spacing w:before="120" w:after="120"/>
        <w:jc w:val="left"/>
        <w:rPr>
          <w:rFonts w:ascii="Times New Roman" w:hAnsi="Times New Roman" w:eastAsia="宋体" w:cs="Times New Roman"/>
          <w:snapToGrid w:val="0"/>
          <w:kern w:val="0"/>
          <w:sz w:val="24"/>
          <w:szCs w:val="28"/>
          <w:lang w:eastAsia="en-US"/>
        </w:rPr>
      </w:pPr>
      <w:r>
        <w:rPr>
          <w:rFonts w:ascii="Times New Roman" w:hAnsi="Times New Roman" w:eastAsia="宋体" w:cs="Times New Roman"/>
          <w:snapToGrid w:val="0"/>
          <w:kern w:val="0"/>
          <w:sz w:val="24"/>
          <w:szCs w:val="28"/>
          <w:lang w:eastAsia="en-US"/>
        </w:rPr>
        <w:t xml:space="preserve">Wang S, Wang X, Tang S, Chen Y, Jia J, Chen J, Shen H, </w:t>
      </w:r>
      <w:r>
        <w:rPr>
          <w:rFonts w:ascii="Times New Roman" w:hAnsi="Times New Roman" w:eastAsia="宋体" w:cs="Times New Roman"/>
          <w:b/>
          <w:snapToGrid w:val="0"/>
          <w:kern w:val="0"/>
          <w:sz w:val="24"/>
          <w:szCs w:val="28"/>
          <w:lang w:eastAsia="en-US"/>
        </w:rPr>
        <w:t>Bai B</w:t>
      </w:r>
      <w:r>
        <w:rPr>
          <w:rFonts w:ascii="Times New Roman" w:hAnsi="Times New Roman" w:eastAsia="宋体" w:cs="Times New Roman"/>
          <w:b/>
          <w:snapToGrid w:val="0"/>
          <w:kern w:val="0"/>
          <w:sz w:val="24"/>
          <w:szCs w:val="28"/>
        </w:rPr>
        <w:t>*</w:t>
      </w:r>
      <w:r>
        <w:rPr>
          <w:rFonts w:ascii="Times New Roman" w:hAnsi="Times New Roman" w:eastAsia="宋体" w:cs="Times New Roman"/>
          <w:snapToGrid w:val="0"/>
          <w:kern w:val="0"/>
          <w:sz w:val="24"/>
          <w:szCs w:val="28"/>
          <w:lang w:eastAsia="en-US"/>
        </w:rPr>
        <w:t xml:space="preserve">. A Study of Immunochromatographic Fecal Occult Blood Test Methods. </w:t>
      </w:r>
      <w:r>
        <w:rPr>
          <w:rFonts w:ascii="Times New Roman" w:hAnsi="Times New Roman" w:eastAsia="宋体" w:cs="Times New Roman"/>
          <w:i/>
          <w:snapToGrid w:val="0"/>
          <w:kern w:val="0"/>
          <w:sz w:val="24"/>
          <w:szCs w:val="28"/>
          <w:u w:val="single"/>
          <w:lang w:eastAsia="en-US"/>
        </w:rPr>
        <w:t>Laboratory Medicine</w:t>
      </w:r>
      <w:r>
        <w:rPr>
          <w:rFonts w:ascii="Times New Roman" w:hAnsi="Times New Roman" w:eastAsia="宋体" w:cs="Times New Roman"/>
          <w:snapToGrid w:val="0"/>
          <w:kern w:val="0"/>
          <w:sz w:val="24"/>
          <w:szCs w:val="28"/>
          <w:lang w:eastAsia="en-US"/>
        </w:rPr>
        <w:t xml:space="preserve">. 2018 Aug 28. </w:t>
      </w:r>
      <w:r>
        <w:rPr>
          <w:rFonts w:ascii="Times New Roman" w:hAnsi="Times New Roman" w:eastAsia="宋体" w:cs="Times New Roman"/>
          <w:snapToGrid w:val="0"/>
          <w:kern w:val="0"/>
          <w:sz w:val="24"/>
          <w:szCs w:val="28"/>
        </w:rPr>
        <w:t>(IF: 1.02, 医学4区)</w:t>
      </w:r>
    </w:p>
    <w:p>
      <w:pPr>
        <w:numPr>
          <w:ilvl w:val="0"/>
          <w:numId w:val="3"/>
        </w:numPr>
        <w:snapToGrid w:val="0"/>
        <w:spacing w:before="120" w:after="120"/>
        <w:jc w:val="left"/>
        <w:rPr>
          <w:rFonts w:ascii="Times New Roman" w:hAnsi="Times New Roman" w:eastAsia="宋体" w:cs="Times New Roman"/>
          <w:snapToGrid w:val="0"/>
          <w:kern w:val="0"/>
          <w:sz w:val="24"/>
          <w:szCs w:val="28"/>
          <w:lang w:eastAsia="en-US"/>
        </w:rPr>
      </w:pPr>
      <w:r>
        <w:rPr>
          <w:rFonts w:ascii="Times New Roman" w:hAnsi="Times New Roman" w:eastAsia="宋体" w:cs="Times New Roman"/>
          <w:snapToGrid w:val="0"/>
          <w:kern w:val="0"/>
          <w:sz w:val="24"/>
          <w:szCs w:val="28"/>
          <w:lang w:eastAsia="en-US"/>
        </w:rPr>
        <w:t xml:space="preserve">Yuxin Chen, Sen Wang, Hongpan Xu, Mingzhe Ning, </w:t>
      </w:r>
      <w:r>
        <w:rPr>
          <w:rFonts w:ascii="Times New Roman" w:hAnsi="Times New Roman" w:eastAsia="宋体" w:cs="Times New Roman"/>
          <w:b/>
          <w:snapToGrid w:val="0"/>
          <w:kern w:val="0"/>
          <w:sz w:val="24"/>
          <w:szCs w:val="28"/>
          <w:lang w:eastAsia="en-US"/>
        </w:rPr>
        <w:t>Bing Bai</w:t>
      </w:r>
      <w:r>
        <w:rPr>
          <w:rFonts w:ascii="Times New Roman" w:hAnsi="Times New Roman" w:eastAsia="宋体" w:cs="Times New Roman"/>
          <w:b/>
          <w:snapToGrid w:val="0"/>
          <w:kern w:val="0"/>
          <w:sz w:val="24"/>
          <w:szCs w:val="28"/>
        </w:rPr>
        <w:t>*</w:t>
      </w:r>
      <w:r>
        <w:rPr>
          <w:rFonts w:ascii="Times New Roman" w:hAnsi="Times New Roman" w:eastAsia="宋体" w:cs="Times New Roman"/>
          <w:snapToGrid w:val="0"/>
          <w:kern w:val="0"/>
          <w:sz w:val="24"/>
          <w:szCs w:val="28"/>
          <w:lang w:eastAsia="en-US"/>
        </w:rPr>
        <w:t xml:space="preserve">. Stable Protein Gel Storage in Acetonitrile for Mass Spectrometric Analysis. </w:t>
      </w:r>
      <w:r>
        <w:rPr>
          <w:rFonts w:ascii="Times New Roman" w:hAnsi="Times New Roman" w:eastAsia="宋体" w:cs="Times New Roman"/>
          <w:i/>
          <w:snapToGrid w:val="0"/>
          <w:kern w:val="0"/>
          <w:sz w:val="24"/>
          <w:szCs w:val="28"/>
          <w:u w:val="single"/>
          <w:lang w:eastAsia="en-US"/>
        </w:rPr>
        <w:t>Proteomics,</w:t>
      </w:r>
      <w:r>
        <w:rPr>
          <w:rFonts w:ascii="Times New Roman" w:hAnsi="Times New Roman" w:eastAsia="宋体" w:cs="Times New Roman"/>
          <w:snapToGrid w:val="0"/>
          <w:kern w:val="0"/>
          <w:sz w:val="24"/>
          <w:szCs w:val="28"/>
          <w:lang w:eastAsia="en-US"/>
        </w:rPr>
        <w:t>2018 Jul;18(13):e1700336.</w:t>
      </w:r>
      <w:r>
        <w:rPr>
          <w:rFonts w:ascii="Times New Roman" w:hAnsi="Times New Roman" w:eastAsia="宋体" w:cs="Times New Roman"/>
          <w:snapToGrid w:val="0"/>
          <w:kern w:val="0"/>
          <w:sz w:val="24"/>
          <w:szCs w:val="28"/>
        </w:rPr>
        <w:t>(IF: 3.1, 生物学3区)</w:t>
      </w:r>
    </w:p>
    <w:p>
      <w:pPr>
        <w:snapToGrid w:val="0"/>
        <w:rPr>
          <w:rFonts w:ascii="Times New Roman" w:hAnsi="Times New Roman" w:eastAsia="方正仿宋_GBK" w:cs="Times New Roman"/>
          <w:sz w:val="32"/>
          <w:szCs w:val="32"/>
        </w:rPr>
      </w:pPr>
    </w:p>
    <w:p>
      <w:pPr>
        <w:snapToGrid w:val="0"/>
        <w:rPr>
          <w:rFonts w:ascii="Times New Roman" w:hAnsi="Times New Roman" w:eastAsia="方正仿宋_GBK" w:cs="Times New Roman"/>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50253D"/>
    <w:multiLevelType w:val="singleLevel"/>
    <w:tmpl w:val="FC50253D"/>
    <w:lvl w:ilvl="0" w:tentative="0">
      <w:start w:val="1"/>
      <w:numFmt w:val="decimal"/>
      <w:suff w:val="nothing"/>
      <w:lvlText w:val="%1、"/>
      <w:lvlJc w:val="left"/>
    </w:lvl>
  </w:abstractNum>
  <w:abstractNum w:abstractNumId="1">
    <w:nsid w:val="1444318B"/>
    <w:multiLevelType w:val="multilevel"/>
    <w:tmpl w:val="1444318B"/>
    <w:lvl w:ilvl="0" w:tentative="0">
      <w:start w:val="1"/>
      <w:numFmt w:val="decimal"/>
      <w:lvlText w:val="%1)"/>
      <w:lvlJc w:val="left"/>
      <w:pPr>
        <w:ind w:left="510" w:hanging="420"/>
      </w:pPr>
      <w:rPr>
        <w:rFonts w:asciiTheme="minorEastAsia" w:hAnsiTheme="minorEastAsia" w:eastAsiaTheme="minorEastAsia"/>
        <w:b w:val="0"/>
        <w:sz w:val="24"/>
        <w:szCs w:val="24"/>
      </w:rPr>
    </w:lvl>
    <w:lvl w:ilvl="1" w:tentative="0">
      <w:start w:val="1"/>
      <w:numFmt w:val="lowerLetter"/>
      <w:lvlText w:val="%2)"/>
      <w:lvlJc w:val="left"/>
      <w:pPr>
        <w:ind w:left="930" w:hanging="420"/>
      </w:pPr>
    </w:lvl>
    <w:lvl w:ilvl="2" w:tentative="0">
      <w:start w:val="1"/>
      <w:numFmt w:val="lowerRoman"/>
      <w:lvlText w:val="%3."/>
      <w:lvlJc w:val="right"/>
      <w:pPr>
        <w:ind w:left="1350" w:hanging="420"/>
      </w:pPr>
    </w:lvl>
    <w:lvl w:ilvl="3" w:tentative="0">
      <w:start w:val="1"/>
      <w:numFmt w:val="decimal"/>
      <w:lvlText w:val="%4."/>
      <w:lvlJc w:val="left"/>
      <w:pPr>
        <w:ind w:left="1770" w:hanging="420"/>
      </w:pPr>
    </w:lvl>
    <w:lvl w:ilvl="4" w:tentative="0">
      <w:start w:val="1"/>
      <w:numFmt w:val="lowerLetter"/>
      <w:lvlText w:val="%5)"/>
      <w:lvlJc w:val="left"/>
      <w:pPr>
        <w:ind w:left="2190" w:hanging="420"/>
      </w:pPr>
    </w:lvl>
    <w:lvl w:ilvl="5" w:tentative="0">
      <w:start w:val="1"/>
      <w:numFmt w:val="lowerRoman"/>
      <w:lvlText w:val="%6."/>
      <w:lvlJc w:val="right"/>
      <w:pPr>
        <w:ind w:left="2610" w:hanging="420"/>
      </w:pPr>
    </w:lvl>
    <w:lvl w:ilvl="6" w:tentative="0">
      <w:start w:val="1"/>
      <w:numFmt w:val="decimal"/>
      <w:lvlText w:val="%7."/>
      <w:lvlJc w:val="left"/>
      <w:pPr>
        <w:ind w:left="3030" w:hanging="420"/>
      </w:pPr>
    </w:lvl>
    <w:lvl w:ilvl="7" w:tentative="0">
      <w:start w:val="1"/>
      <w:numFmt w:val="lowerLetter"/>
      <w:lvlText w:val="%8)"/>
      <w:lvlJc w:val="left"/>
      <w:pPr>
        <w:ind w:left="3450" w:hanging="420"/>
      </w:pPr>
    </w:lvl>
    <w:lvl w:ilvl="8" w:tentative="0">
      <w:start w:val="1"/>
      <w:numFmt w:val="lowerRoman"/>
      <w:lvlText w:val="%9."/>
      <w:lvlJc w:val="right"/>
      <w:pPr>
        <w:ind w:left="3870" w:hanging="420"/>
      </w:pPr>
    </w:lvl>
  </w:abstractNum>
  <w:abstractNum w:abstractNumId="2">
    <w:nsid w:val="6F0E47D4"/>
    <w:multiLevelType w:val="multilevel"/>
    <w:tmpl w:val="6F0E47D4"/>
    <w:lvl w:ilvl="0" w:tentative="0">
      <w:start w:val="1"/>
      <w:numFmt w:val="decimal"/>
      <w:lvlText w:val="%1)"/>
      <w:lvlJc w:val="left"/>
      <w:pPr>
        <w:ind w:left="547" w:hanging="360"/>
      </w:pPr>
      <w:rPr>
        <w:rFonts w:hint="default"/>
        <w:b w:val="0"/>
        <w:i w:val="0"/>
        <w:sz w:val="22"/>
        <w:szCs w:val="22"/>
      </w:rPr>
    </w:lvl>
    <w:lvl w:ilvl="1" w:tentative="0">
      <w:start w:val="1"/>
      <w:numFmt w:val="lowerLetter"/>
      <w:lvlText w:val="%2."/>
      <w:lvlJc w:val="left"/>
      <w:pPr>
        <w:ind w:left="1267" w:hanging="360"/>
      </w:pPr>
    </w:lvl>
    <w:lvl w:ilvl="2" w:tentative="0">
      <w:start w:val="1"/>
      <w:numFmt w:val="lowerRoman"/>
      <w:lvlText w:val="%3."/>
      <w:lvlJc w:val="right"/>
      <w:pPr>
        <w:ind w:left="1987" w:hanging="180"/>
      </w:pPr>
    </w:lvl>
    <w:lvl w:ilvl="3" w:tentative="0">
      <w:start w:val="1"/>
      <w:numFmt w:val="decimal"/>
      <w:lvlText w:val="%4."/>
      <w:lvlJc w:val="left"/>
      <w:pPr>
        <w:ind w:left="2707" w:hanging="360"/>
      </w:pPr>
    </w:lvl>
    <w:lvl w:ilvl="4" w:tentative="0">
      <w:start w:val="1"/>
      <w:numFmt w:val="lowerLetter"/>
      <w:lvlText w:val="%5."/>
      <w:lvlJc w:val="left"/>
      <w:pPr>
        <w:ind w:left="3427" w:hanging="360"/>
      </w:pPr>
    </w:lvl>
    <w:lvl w:ilvl="5" w:tentative="0">
      <w:start w:val="1"/>
      <w:numFmt w:val="lowerRoman"/>
      <w:lvlText w:val="%6."/>
      <w:lvlJc w:val="right"/>
      <w:pPr>
        <w:ind w:left="4147" w:hanging="180"/>
      </w:pPr>
    </w:lvl>
    <w:lvl w:ilvl="6" w:tentative="0">
      <w:start w:val="1"/>
      <w:numFmt w:val="decimal"/>
      <w:lvlText w:val="%7."/>
      <w:lvlJc w:val="left"/>
      <w:pPr>
        <w:ind w:left="4867" w:hanging="360"/>
      </w:pPr>
    </w:lvl>
    <w:lvl w:ilvl="7" w:tentative="0">
      <w:start w:val="1"/>
      <w:numFmt w:val="lowerLetter"/>
      <w:lvlText w:val="%8."/>
      <w:lvlJc w:val="left"/>
      <w:pPr>
        <w:ind w:left="5587" w:hanging="360"/>
      </w:pPr>
    </w:lvl>
    <w:lvl w:ilvl="8" w:tentative="0">
      <w:start w:val="1"/>
      <w:numFmt w:val="lowerRoman"/>
      <w:lvlText w:val="%9."/>
      <w:lvlJc w:val="right"/>
      <w:pPr>
        <w:ind w:left="630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yZjdiMWE4MjRmMDA3MDRjYTg0NThiNDk5YjFiN2EifQ=="/>
  </w:docVars>
  <w:rsids>
    <w:rsidRoot w:val="001F6774"/>
    <w:rsid w:val="0000024C"/>
    <w:rsid w:val="00064FDA"/>
    <w:rsid w:val="00144298"/>
    <w:rsid w:val="001F6774"/>
    <w:rsid w:val="002B2E1F"/>
    <w:rsid w:val="004E2B58"/>
    <w:rsid w:val="005F7588"/>
    <w:rsid w:val="00670537"/>
    <w:rsid w:val="00771D87"/>
    <w:rsid w:val="007C20A9"/>
    <w:rsid w:val="00841106"/>
    <w:rsid w:val="00925A77"/>
    <w:rsid w:val="00B4763E"/>
    <w:rsid w:val="00C33BB8"/>
    <w:rsid w:val="2BF20B3F"/>
    <w:rsid w:val="4C2510E7"/>
    <w:rsid w:val="4FD32A41"/>
    <w:rsid w:val="71FE0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semiHidden="0" w:name="header"/>
    <w:lsdException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uiPriority w:val="0"/>
    <w:rPr>
      <w:sz w:val="18"/>
      <w:szCs w:val="18"/>
    </w:rPr>
  </w:style>
  <w:style w:type="paragraph" w:styleId="3">
    <w:name w:val="footer"/>
    <w:basedOn w:val="1"/>
    <w:link w:val="9"/>
    <w:unhideWhenUsed/>
    <w:uiPriority w:val="0"/>
    <w:pPr>
      <w:tabs>
        <w:tab w:val="center" w:pos="4320"/>
        <w:tab w:val="right" w:pos="8640"/>
      </w:tabs>
    </w:pPr>
  </w:style>
  <w:style w:type="paragraph" w:styleId="4">
    <w:name w:val="header"/>
    <w:basedOn w:val="1"/>
    <w:link w:val="8"/>
    <w:unhideWhenUsed/>
    <w:uiPriority w:val="0"/>
    <w:pPr>
      <w:tabs>
        <w:tab w:val="center" w:pos="4320"/>
        <w:tab w:val="right" w:pos="8640"/>
      </w:tabs>
    </w:pPr>
  </w:style>
  <w:style w:type="character" w:customStyle="1" w:styleId="7">
    <w:name w:val="批注框文本 字符"/>
    <w:basedOn w:val="6"/>
    <w:link w:val="2"/>
    <w:uiPriority w:val="0"/>
    <w:rPr>
      <w:kern w:val="2"/>
      <w:sz w:val="18"/>
      <w:szCs w:val="18"/>
    </w:rPr>
  </w:style>
  <w:style w:type="character" w:customStyle="1" w:styleId="8">
    <w:name w:val="页眉 字符"/>
    <w:basedOn w:val="6"/>
    <w:link w:val="4"/>
    <w:uiPriority w:val="0"/>
    <w:rPr>
      <w:kern w:val="2"/>
      <w:sz w:val="21"/>
      <w:szCs w:val="24"/>
    </w:rPr>
  </w:style>
  <w:style w:type="character" w:customStyle="1" w:styleId="9">
    <w:name w:val="页脚 字符"/>
    <w:basedOn w:val="6"/>
    <w:link w:val="3"/>
    <w:uiPriority w:val="0"/>
    <w:rPr>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1569</Words>
  <Characters>4275</Characters>
  <Lines>34</Lines>
  <Paragraphs>9</Paragraphs>
  <TotalTime>36</TotalTime>
  <ScaleCrop>false</ScaleCrop>
  <LinksUpToDate>false</LinksUpToDate>
  <CharactersWithSpaces>4829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2023-03-07T02:27:00Z</dcterms:created>
  <dc:creator>Administrator</dc:creator>
  <cp:lastModifiedBy>Daisy</cp:lastModifiedBy>
  <dcterms:modified xsi:type="dcterms:W3CDTF">2023-03-08T03:24:24Z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A6933439B3F74122B32478A6FA438663</vt:lpwstr>
  </property>
</Properties>
</file>