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76C03" w14:textId="2EA0FAE9" w:rsidR="00E1225E" w:rsidRPr="00D971E0" w:rsidRDefault="00654DB2" w:rsidP="00D971E0">
      <w:pPr>
        <w:spacing w:line="360" w:lineRule="auto"/>
        <w:rPr>
          <w:rFonts w:ascii="Times New Roman" w:eastAsia="楷体" w:hAnsi="Times New Roman" w:cs="Times New Roman"/>
          <w:sz w:val="24"/>
        </w:rPr>
      </w:pPr>
      <w:r w:rsidRPr="00D971E0">
        <w:rPr>
          <w:rFonts w:ascii="Times New Roman" w:eastAsia="楷体" w:hAnsi="Times New Roman" w:cs="Times New Roman"/>
          <w:noProof/>
          <w:sz w:val="24"/>
        </w:rPr>
        <w:drawing>
          <wp:anchor distT="0" distB="0" distL="114300" distR="114300" simplePos="0" relativeHeight="251665408" behindDoc="1" locked="0" layoutInCell="1" allowOverlap="1" wp14:anchorId="49C7A355" wp14:editId="2021DF5D">
            <wp:simplePos x="0" y="0"/>
            <wp:positionH relativeFrom="column">
              <wp:posOffset>3825164</wp:posOffset>
            </wp:positionH>
            <wp:positionV relativeFrom="paragraph">
              <wp:posOffset>171953</wp:posOffset>
            </wp:positionV>
            <wp:extent cx="1456690" cy="1079500"/>
            <wp:effectExtent l="0" t="0" r="0" b="6350"/>
            <wp:wrapTight wrapText="bothSides">
              <wp:wrapPolygon edited="0">
                <wp:start x="0" y="0"/>
                <wp:lineTo x="0" y="21346"/>
                <wp:lineTo x="21186" y="21346"/>
                <wp:lineTo x="21186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151" r="2944"/>
                    <a:stretch/>
                  </pic:blipFill>
                  <pic:spPr bwMode="auto">
                    <a:xfrm>
                      <a:off x="0" y="0"/>
                      <a:ext cx="145669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971E0">
        <w:rPr>
          <w:rFonts w:ascii="Times New Roman" w:eastAsia="楷体" w:hAnsi="Times New Roman" w:cs="Times New Roman"/>
          <w:sz w:val="24"/>
        </w:rPr>
        <w:t>唐小军</w:t>
      </w:r>
    </w:p>
    <w:p w14:paraId="24978DF3" w14:textId="07209AB3" w:rsidR="00E1225E" w:rsidRPr="00D971E0" w:rsidRDefault="00654DB2" w:rsidP="00D971E0">
      <w:pPr>
        <w:spacing w:line="360" w:lineRule="auto"/>
        <w:rPr>
          <w:rFonts w:ascii="Times New Roman" w:eastAsia="楷体" w:hAnsi="Times New Roman" w:cs="Times New Roman"/>
          <w:sz w:val="24"/>
        </w:rPr>
      </w:pPr>
      <w:r w:rsidRPr="00D971E0">
        <w:rPr>
          <w:rFonts w:ascii="Times New Roman" w:eastAsia="楷体" w:hAnsi="Times New Roman" w:cs="Times New Roman"/>
          <w:sz w:val="24"/>
        </w:rPr>
        <w:t>副研究员</w:t>
      </w:r>
    </w:p>
    <w:p w14:paraId="0A6E886B" w14:textId="08DB706A" w:rsidR="00654DB2" w:rsidRPr="00D971E0" w:rsidRDefault="00654DB2" w:rsidP="00D971E0">
      <w:pPr>
        <w:spacing w:line="360" w:lineRule="auto"/>
        <w:rPr>
          <w:rFonts w:ascii="Times New Roman" w:eastAsia="楷体" w:hAnsi="Times New Roman" w:cs="Times New Roman"/>
          <w:sz w:val="24"/>
        </w:rPr>
      </w:pPr>
      <w:r w:rsidRPr="00D971E0">
        <w:rPr>
          <w:rFonts w:ascii="Times New Roman" w:eastAsia="楷体" w:hAnsi="Times New Roman" w:cs="Times New Roman"/>
          <w:sz w:val="24"/>
        </w:rPr>
        <w:t>主要研究领域和方向：</w:t>
      </w:r>
    </w:p>
    <w:p w14:paraId="7DA5AFDE" w14:textId="637AE558" w:rsidR="00654DB2" w:rsidRPr="00D971E0" w:rsidRDefault="00D971E0" w:rsidP="00D971E0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Times New Roman" w:eastAsia="楷体" w:hAnsi="Times New Roman" w:cs="Times New Roman"/>
          <w:sz w:val="24"/>
        </w:rPr>
      </w:pPr>
      <w:r w:rsidRPr="00D971E0">
        <w:rPr>
          <w:rFonts w:ascii="Times New Roman" w:eastAsia="楷体" w:hAnsi="Times New Roman" w:cs="Times New Roman"/>
          <w:sz w:val="24"/>
        </w:rPr>
        <w:t>类风湿性关节炎免疫细胞异常机制研究</w:t>
      </w:r>
    </w:p>
    <w:p w14:paraId="7DDFA096" w14:textId="5FF83E0F" w:rsidR="00D971E0" w:rsidRPr="00D971E0" w:rsidRDefault="00D971E0" w:rsidP="00D971E0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Times New Roman" w:eastAsia="楷体" w:hAnsi="Times New Roman" w:cs="Times New Roman"/>
          <w:sz w:val="24"/>
        </w:rPr>
      </w:pPr>
      <w:r w:rsidRPr="00D971E0">
        <w:rPr>
          <w:rFonts w:ascii="Times New Roman" w:eastAsia="楷体" w:hAnsi="Times New Roman" w:cs="Times New Roman"/>
          <w:sz w:val="24"/>
        </w:rPr>
        <w:t>间充质干细胞治疗自身免疫性疾病</w:t>
      </w:r>
    </w:p>
    <w:p w14:paraId="513FD5D5" w14:textId="15156F7B" w:rsidR="00E1225E" w:rsidRPr="00D971E0" w:rsidRDefault="00000000" w:rsidP="00D971E0">
      <w:pPr>
        <w:spacing w:line="360" w:lineRule="auto"/>
        <w:rPr>
          <w:rFonts w:ascii="Times New Roman" w:eastAsia="楷体" w:hAnsi="Times New Roman" w:cs="Times New Roman"/>
          <w:sz w:val="24"/>
        </w:rPr>
      </w:pPr>
      <w:r w:rsidRPr="00D971E0">
        <w:rPr>
          <w:rFonts w:ascii="Times New Roman" w:eastAsia="楷体" w:hAnsi="Times New Roman" w:cs="Times New Roman"/>
          <w:sz w:val="24"/>
        </w:rPr>
        <w:t>联系方式（邮箱）：</w:t>
      </w:r>
      <w:r w:rsidR="00D971E0" w:rsidRPr="00D971E0">
        <w:rPr>
          <w:rFonts w:ascii="Times New Roman" w:eastAsia="楷体" w:hAnsi="Times New Roman" w:cs="Times New Roman"/>
          <w:sz w:val="24"/>
        </w:rPr>
        <w:t>xjtang09@163.com</w:t>
      </w:r>
    </w:p>
    <w:p w14:paraId="7FBF5861" w14:textId="6AAE8D21" w:rsidR="00D971E0" w:rsidRPr="00D971E0" w:rsidRDefault="00000000" w:rsidP="00D971E0">
      <w:pPr>
        <w:spacing w:line="360" w:lineRule="auto"/>
        <w:rPr>
          <w:rFonts w:ascii="Times New Roman" w:eastAsia="楷体" w:hAnsi="Times New Roman" w:cs="Times New Roman"/>
          <w:sz w:val="24"/>
        </w:rPr>
      </w:pPr>
      <w:r w:rsidRPr="00D971E0">
        <w:rPr>
          <w:rFonts w:ascii="Times New Roman" w:eastAsia="楷体" w:hAnsi="Times New Roman" w:cs="Times New Roman"/>
          <w:sz w:val="24"/>
        </w:rPr>
        <w:t>承担的项目（近五年）：</w:t>
      </w:r>
    </w:p>
    <w:p w14:paraId="258F3FA0" w14:textId="79DE6557" w:rsidR="00DA6A45" w:rsidRDefault="00D971E0" w:rsidP="00DA6A45">
      <w:pPr>
        <w:spacing w:line="360" w:lineRule="auto"/>
        <w:rPr>
          <w:rFonts w:ascii="Times New Roman" w:eastAsia="楷体" w:hAnsi="Times New Roman" w:cs="Times New Roman"/>
          <w:sz w:val="24"/>
        </w:rPr>
      </w:pPr>
      <w:r w:rsidRPr="00DA6A45">
        <w:rPr>
          <w:rFonts w:ascii="Times New Roman" w:eastAsia="楷体" w:hAnsi="Times New Roman" w:cs="Times New Roman" w:hint="eastAsia"/>
          <w:sz w:val="24"/>
        </w:rPr>
        <w:t>国家自然科学基金委员会</w:t>
      </w:r>
      <w:r w:rsidRPr="00DA6A45">
        <w:rPr>
          <w:rFonts w:ascii="Times New Roman" w:eastAsia="楷体" w:hAnsi="Times New Roman" w:cs="Times New Roman" w:hint="eastAsia"/>
          <w:sz w:val="24"/>
        </w:rPr>
        <w:t xml:space="preserve">, </w:t>
      </w:r>
      <w:r w:rsidRPr="00DA6A45">
        <w:rPr>
          <w:rFonts w:ascii="Times New Roman" w:eastAsia="楷体" w:hAnsi="Times New Roman" w:cs="Times New Roman" w:hint="eastAsia"/>
          <w:sz w:val="24"/>
        </w:rPr>
        <w:t>面上项目</w:t>
      </w:r>
      <w:r w:rsidRPr="00DA6A45">
        <w:rPr>
          <w:rFonts w:ascii="Times New Roman" w:eastAsia="楷体" w:hAnsi="Times New Roman" w:cs="Times New Roman" w:hint="eastAsia"/>
          <w:sz w:val="24"/>
        </w:rPr>
        <w:t>, 81971525, CCL28</w:t>
      </w:r>
      <w:r w:rsidRPr="00DA6A45">
        <w:rPr>
          <w:rFonts w:ascii="Times New Roman" w:eastAsia="楷体" w:hAnsi="Times New Roman" w:cs="Times New Roman" w:hint="eastAsia"/>
          <w:sz w:val="24"/>
        </w:rPr>
        <w:t>促进</w:t>
      </w:r>
      <w:r w:rsidRPr="00DA6A45">
        <w:rPr>
          <w:rFonts w:ascii="Times New Roman" w:eastAsia="楷体" w:hAnsi="Times New Roman" w:cs="Times New Roman" w:hint="eastAsia"/>
          <w:sz w:val="24"/>
        </w:rPr>
        <w:t>Th-GM</w:t>
      </w:r>
      <w:r w:rsidRPr="00DA6A45">
        <w:rPr>
          <w:rFonts w:ascii="Times New Roman" w:eastAsia="楷体" w:hAnsi="Times New Roman" w:cs="Times New Roman" w:hint="eastAsia"/>
          <w:sz w:val="24"/>
        </w:rPr>
        <w:t>浸润至滑膜在</w:t>
      </w:r>
      <w:r w:rsidRPr="00DA6A45">
        <w:rPr>
          <w:rFonts w:ascii="Times New Roman" w:eastAsia="楷体" w:hAnsi="Times New Roman" w:cs="Times New Roman" w:hint="eastAsia"/>
          <w:sz w:val="24"/>
        </w:rPr>
        <w:t>RA</w:t>
      </w:r>
      <w:r w:rsidRPr="00DA6A45">
        <w:rPr>
          <w:rFonts w:ascii="Times New Roman" w:eastAsia="楷体" w:hAnsi="Times New Roman" w:cs="Times New Roman" w:hint="eastAsia"/>
          <w:sz w:val="24"/>
        </w:rPr>
        <w:t>发病中的作用及机制研究</w:t>
      </w:r>
      <w:r w:rsidRPr="00DA6A45">
        <w:rPr>
          <w:rFonts w:ascii="Times New Roman" w:eastAsia="楷体" w:hAnsi="Times New Roman" w:cs="Times New Roman" w:hint="eastAsia"/>
          <w:sz w:val="24"/>
        </w:rPr>
        <w:t xml:space="preserve">, 2020-01-01 </w:t>
      </w:r>
      <w:r w:rsidRPr="00DA6A45">
        <w:rPr>
          <w:rFonts w:ascii="Times New Roman" w:eastAsia="楷体" w:hAnsi="Times New Roman" w:cs="Times New Roman" w:hint="eastAsia"/>
          <w:sz w:val="24"/>
        </w:rPr>
        <w:t>至</w:t>
      </w:r>
      <w:r w:rsidRPr="00DA6A45">
        <w:rPr>
          <w:rFonts w:ascii="Times New Roman" w:eastAsia="楷体" w:hAnsi="Times New Roman" w:cs="Times New Roman" w:hint="eastAsia"/>
          <w:sz w:val="24"/>
        </w:rPr>
        <w:t xml:space="preserve"> 2023-12-31, 55</w:t>
      </w:r>
      <w:r w:rsidRPr="00DA6A45">
        <w:rPr>
          <w:rFonts w:ascii="Times New Roman" w:eastAsia="楷体" w:hAnsi="Times New Roman" w:cs="Times New Roman" w:hint="eastAsia"/>
          <w:sz w:val="24"/>
        </w:rPr>
        <w:t>万元</w:t>
      </w:r>
      <w:r w:rsidRPr="00DA6A45">
        <w:rPr>
          <w:rFonts w:ascii="Times New Roman" w:eastAsia="楷体" w:hAnsi="Times New Roman" w:cs="Times New Roman" w:hint="eastAsia"/>
          <w:sz w:val="24"/>
        </w:rPr>
        <w:t xml:space="preserve">, </w:t>
      </w:r>
      <w:r w:rsidRPr="00DA6A45">
        <w:rPr>
          <w:rFonts w:ascii="Times New Roman" w:eastAsia="楷体" w:hAnsi="Times New Roman" w:cs="Times New Roman" w:hint="eastAsia"/>
          <w:sz w:val="24"/>
        </w:rPr>
        <w:t>在研</w:t>
      </w:r>
      <w:r w:rsidRPr="00DA6A45">
        <w:rPr>
          <w:rFonts w:ascii="Times New Roman" w:eastAsia="楷体" w:hAnsi="Times New Roman" w:cs="Times New Roman" w:hint="eastAsia"/>
          <w:sz w:val="24"/>
        </w:rPr>
        <w:t xml:space="preserve">, </w:t>
      </w:r>
      <w:r w:rsidRPr="00DA6A45">
        <w:rPr>
          <w:rFonts w:ascii="Times New Roman" w:eastAsia="楷体" w:hAnsi="Times New Roman" w:cs="Times New Roman" w:hint="eastAsia"/>
          <w:sz w:val="24"/>
        </w:rPr>
        <w:t>主持</w:t>
      </w:r>
    </w:p>
    <w:p w14:paraId="63E2BCD4" w14:textId="77777777" w:rsidR="00DA6A45" w:rsidRPr="00DA6A45" w:rsidRDefault="00DA6A45" w:rsidP="00DA6A45">
      <w:pPr>
        <w:spacing w:line="360" w:lineRule="auto"/>
        <w:rPr>
          <w:rFonts w:ascii="Times New Roman" w:eastAsia="楷体" w:hAnsi="Times New Roman" w:cs="Times New Roman" w:hint="eastAsia"/>
          <w:sz w:val="24"/>
        </w:rPr>
      </w:pPr>
    </w:p>
    <w:p w14:paraId="78BC0412" w14:textId="25A68169" w:rsidR="00E1225E" w:rsidRPr="00D971E0" w:rsidRDefault="00000000" w:rsidP="00D971E0">
      <w:pPr>
        <w:spacing w:line="360" w:lineRule="auto"/>
        <w:rPr>
          <w:rFonts w:ascii="Times New Roman" w:eastAsia="楷体" w:hAnsi="Times New Roman" w:cs="Times New Roman"/>
          <w:sz w:val="24"/>
        </w:rPr>
      </w:pPr>
      <w:r w:rsidRPr="00D971E0">
        <w:rPr>
          <w:rFonts w:ascii="Times New Roman" w:eastAsia="楷体" w:hAnsi="Times New Roman" w:cs="Times New Roman"/>
          <w:sz w:val="24"/>
        </w:rPr>
        <w:t>代表性论文（近五年）：</w:t>
      </w:r>
    </w:p>
    <w:p w14:paraId="41F63696" w14:textId="295F7186" w:rsidR="00D971E0" w:rsidRPr="00D971E0" w:rsidRDefault="00D971E0" w:rsidP="00D971E0">
      <w:pPr>
        <w:spacing w:line="360" w:lineRule="auto"/>
        <w:rPr>
          <w:rFonts w:ascii="Times New Roman" w:eastAsia="楷体" w:hAnsi="Times New Roman" w:cs="Times New Roman" w:hint="eastAsia"/>
          <w:sz w:val="24"/>
        </w:rPr>
      </w:pPr>
      <w:r w:rsidRPr="00D971E0">
        <w:rPr>
          <w:rFonts w:ascii="Times New Roman" w:eastAsia="楷体" w:hAnsi="Times New Roman" w:cs="Times New Roman"/>
          <w:sz w:val="24"/>
        </w:rPr>
        <w:t>(1) Zixue Cheng; Nan L. Xia; Ziyan Chen; Mei Li; Zhicheng Tang; Haolin Wu; Xinyi Yan; Yue</w:t>
      </w:r>
      <w:r>
        <w:rPr>
          <w:rFonts w:ascii="Times New Roman" w:eastAsia="楷体" w:hAnsi="Times New Roman" w:cs="Times New Roman" w:hint="eastAsia"/>
          <w:sz w:val="24"/>
        </w:rPr>
        <w:t>;</w:t>
      </w:r>
      <w:r>
        <w:rPr>
          <w:rFonts w:ascii="Times New Roman" w:eastAsia="楷体" w:hAnsi="Times New Roman" w:cs="Times New Roman"/>
          <w:sz w:val="24"/>
        </w:rPr>
        <w:t xml:space="preserve"> </w:t>
      </w:r>
      <w:r w:rsidRPr="00D971E0">
        <w:rPr>
          <w:rFonts w:ascii="Times New Roman" w:eastAsia="楷体" w:hAnsi="Times New Roman" w:cs="Times New Roman"/>
          <w:sz w:val="24"/>
        </w:rPr>
        <w:t>Wang; Yuchun Wang; Xiaojun Tang; Huayong Zhang; Lingyun Sun ; SHIP1 is required for the formation</w:t>
      </w:r>
      <w:r>
        <w:rPr>
          <w:rFonts w:ascii="Times New Roman" w:eastAsia="楷体" w:hAnsi="Times New Roman" w:cs="Times New Roman" w:hint="eastAsia"/>
          <w:sz w:val="24"/>
        </w:rPr>
        <w:t xml:space="preserve"> </w:t>
      </w:r>
      <w:r w:rsidRPr="00D971E0">
        <w:rPr>
          <w:rFonts w:ascii="Times New Roman" w:eastAsia="楷体" w:hAnsi="Times New Roman" w:cs="Times New Roman"/>
          <w:sz w:val="24"/>
        </w:rPr>
        <w:t>of neutrophil extracellular traps in rheumatoid arthritis, International Immunopharmacology,</w:t>
      </w:r>
      <w:r>
        <w:rPr>
          <w:rFonts w:ascii="Times New Roman" w:eastAsia="楷体" w:hAnsi="Times New Roman" w:cs="Times New Roman" w:hint="eastAsia"/>
          <w:sz w:val="24"/>
        </w:rPr>
        <w:t xml:space="preserve"> </w:t>
      </w:r>
      <w:r w:rsidRPr="00D971E0">
        <w:rPr>
          <w:rFonts w:ascii="Times New Roman" w:eastAsia="楷体" w:hAnsi="Times New Roman" w:cs="Times New Roman" w:hint="eastAsia"/>
          <w:sz w:val="24"/>
        </w:rPr>
        <w:t xml:space="preserve">2023, 115: 109625 </w:t>
      </w:r>
    </w:p>
    <w:p w14:paraId="0C367D4B" w14:textId="4F707C5A" w:rsidR="00D971E0" w:rsidRPr="00D971E0" w:rsidRDefault="00D971E0" w:rsidP="00D971E0">
      <w:pPr>
        <w:spacing w:line="360" w:lineRule="auto"/>
        <w:rPr>
          <w:rFonts w:ascii="Times New Roman" w:eastAsia="楷体" w:hAnsi="Times New Roman" w:cs="Times New Roman" w:hint="eastAsia"/>
          <w:sz w:val="24"/>
        </w:rPr>
      </w:pPr>
      <w:r w:rsidRPr="00D971E0">
        <w:rPr>
          <w:rFonts w:ascii="Times New Roman" w:eastAsia="楷体" w:hAnsi="Times New Roman" w:cs="Times New Roman"/>
          <w:sz w:val="24"/>
        </w:rPr>
        <w:t>(2) Yan Cong; Xiaojun Tang; Dandan Wang; Zhuoya Zhang; Saisai Huang; Xin Zhang; Genhong Yao;</w:t>
      </w:r>
      <w:r>
        <w:rPr>
          <w:rFonts w:ascii="Times New Roman" w:eastAsia="楷体" w:hAnsi="Times New Roman" w:cs="Times New Roman" w:hint="eastAsia"/>
          <w:sz w:val="24"/>
        </w:rPr>
        <w:t xml:space="preserve"> </w:t>
      </w:r>
      <w:r w:rsidRPr="00D971E0">
        <w:rPr>
          <w:rFonts w:ascii="Times New Roman" w:eastAsia="楷体" w:hAnsi="Times New Roman" w:cs="Times New Roman"/>
          <w:sz w:val="24"/>
        </w:rPr>
        <w:t>Lingyun Sun ; Umbilical cord mesenchymal stem cells alleviate Sjögren’s syndrome and related</w:t>
      </w:r>
      <w:r>
        <w:rPr>
          <w:rFonts w:ascii="Times New Roman" w:eastAsia="楷体" w:hAnsi="Times New Roman" w:cs="Times New Roman" w:hint="eastAsia"/>
          <w:sz w:val="24"/>
        </w:rPr>
        <w:t xml:space="preserve"> </w:t>
      </w:r>
      <w:r w:rsidRPr="00D971E0">
        <w:rPr>
          <w:rFonts w:ascii="Times New Roman" w:eastAsia="楷体" w:hAnsi="Times New Roman" w:cs="Times New Roman"/>
          <w:sz w:val="24"/>
        </w:rPr>
        <w:t>pulmonary inflammation through regulating Vγ4+ IL-17+ T cells, Annals of Translational Medicine,</w:t>
      </w:r>
      <w:r>
        <w:rPr>
          <w:rFonts w:ascii="Times New Roman" w:eastAsia="楷体" w:hAnsi="Times New Roman" w:cs="Times New Roman" w:hint="eastAsia"/>
          <w:sz w:val="24"/>
        </w:rPr>
        <w:t xml:space="preserve"> </w:t>
      </w:r>
      <w:r w:rsidRPr="00D971E0">
        <w:rPr>
          <w:rFonts w:ascii="Times New Roman" w:eastAsia="楷体" w:hAnsi="Times New Roman" w:cs="Times New Roman" w:hint="eastAsia"/>
          <w:sz w:val="24"/>
        </w:rPr>
        <w:t xml:space="preserve">2022, 10(10): 594-594 </w:t>
      </w:r>
    </w:p>
    <w:p w14:paraId="50AA9EEC" w14:textId="66686ED3" w:rsidR="00D971E0" w:rsidRPr="00D971E0" w:rsidRDefault="00D971E0" w:rsidP="00D971E0">
      <w:pPr>
        <w:spacing w:line="360" w:lineRule="auto"/>
        <w:rPr>
          <w:rFonts w:ascii="Times New Roman" w:eastAsia="楷体" w:hAnsi="Times New Roman" w:cs="Times New Roman" w:hint="eastAsia"/>
          <w:sz w:val="24"/>
        </w:rPr>
      </w:pPr>
      <w:r w:rsidRPr="00D971E0">
        <w:rPr>
          <w:rFonts w:ascii="Times New Roman" w:eastAsia="楷体" w:hAnsi="Times New Roman" w:cs="Times New Roman"/>
          <w:sz w:val="24"/>
        </w:rPr>
        <w:t>(3) Yantong Zhu; Xiaojun Tang; Yang Xu; Si Wu; Weilin Liu; Linyu Geng; Xiaolei Ma; Betty P.</w:t>
      </w:r>
      <w:r>
        <w:rPr>
          <w:rFonts w:ascii="Times New Roman" w:eastAsia="楷体" w:hAnsi="Times New Roman" w:cs="Times New Roman" w:hint="eastAsia"/>
          <w:sz w:val="24"/>
        </w:rPr>
        <w:t xml:space="preserve"> </w:t>
      </w:r>
      <w:r w:rsidRPr="00D971E0">
        <w:rPr>
          <w:rFonts w:ascii="Times New Roman" w:eastAsia="楷体" w:hAnsi="Times New Roman" w:cs="Times New Roman"/>
          <w:sz w:val="24"/>
        </w:rPr>
        <w:t>Tsao; Xuebing Feng; Lingyun Sun ; RNASE2 Mediates Age-Associated B Cell Expansion Through</w:t>
      </w:r>
      <w:r>
        <w:rPr>
          <w:rFonts w:ascii="Times New Roman" w:eastAsia="楷体" w:hAnsi="Times New Roman" w:cs="Times New Roman" w:hint="eastAsia"/>
          <w:sz w:val="24"/>
        </w:rPr>
        <w:t xml:space="preserve"> </w:t>
      </w:r>
      <w:r w:rsidRPr="00D971E0">
        <w:rPr>
          <w:rFonts w:ascii="Times New Roman" w:eastAsia="楷体" w:hAnsi="Times New Roman" w:cs="Times New Roman"/>
          <w:sz w:val="24"/>
        </w:rPr>
        <w:t>Monocyte Derived IL-10 in Patients With Systemic Lupus Erythematosus, Frontiers in Immunology,</w:t>
      </w:r>
      <w:r>
        <w:rPr>
          <w:rFonts w:ascii="Times New Roman" w:eastAsia="楷体" w:hAnsi="Times New Roman" w:cs="Times New Roman" w:hint="eastAsia"/>
          <w:sz w:val="24"/>
        </w:rPr>
        <w:t xml:space="preserve"> </w:t>
      </w:r>
      <w:r w:rsidRPr="00D971E0">
        <w:rPr>
          <w:rFonts w:ascii="Times New Roman" w:eastAsia="楷体" w:hAnsi="Times New Roman" w:cs="Times New Roman" w:hint="eastAsia"/>
          <w:sz w:val="24"/>
        </w:rPr>
        <w:t xml:space="preserve">2022, 21(13): 752189 </w:t>
      </w:r>
    </w:p>
    <w:p w14:paraId="16654B19" w14:textId="35E9D3A0" w:rsidR="00D971E0" w:rsidRPr="00D971E0" w:rsidRDefault="00D971E0" w:rsidP="00D971E0">
      <w:pPr>
        <w:spacing w:line="360" w:lineRule="auto"/>
        <w:rPr>
          <w:rFonts w:ascii="Times New Roman" w:eastAsia="楷体" w:hAnsi="Times New Roman" w:cs="Times New Roman" w:hint="eastAsia"/>
          <w:sz w:val="24"/>
        </w:rPr>
      </w:pPr>
      <w:r w:rsidRPr="00D971E0">
        <w:rPr>
          <w:rFonts w:ascii="Times New Roman" w:eastAsia="楷体" w:hAnsi="Times New Roman" w:cs="Times New Roman"/>
          <w:sz w:val="24"/>
        </w:rPr>
        <w:t>(4) Xiaojun Tang; Linyu Geng; Xuebing Feng; Lingyun Sun ; Decreased serum ACE2 levels in</w:t>
      </w:r>
      <w:r>
        <w:rPr>
          <w:rFonts w:ascii="Times New Roman" w:eastAsia="楷体" w:hAnsi="Times New Roman" w:cs="Times New Roman" w:hint="eastAsia"/>
          <w:sz w:val="24"/>
        </w:rPr>
        <w:t xml:space="preserve"> </w:t>
      </w:r>
      <w:r w:rsidRPr="00D971E0">
        <w:rPr>
          <w:rFonts w:ascii="Times New Roman" w:eastAsia="楷体" w:hAnsi="Times New Roman" w:cs="Times New Roman" w:hint="eastAsia"/>
          <w:sz w:val="24"/>
        </w:rPr>
        <w:t xml:space="preserve">patients with connective tissue diseases, Rheumatology (Oxford), 2021, 60(9): 4401-4406 </w:t>
      </w:r>
    </w:p>
    <w:p w14:paraId="19EED690" w14:textId="608ED8D4" w:rsidR="00E1225E" w:rsidRPr="00DA6A45" w:rsidRDefault="00D971E0" w:rsidP="00D971E0">
      <w:pPr>
        <w:spacing w:line="360" w:lineRule="auto"/>
        <w:rPr>
          <w:rFonts w:ascii="Times New Roman" w:eastAsia="楷体" w:hAnsi="Times New Roman" w:cs="Times New Roman" w:hint="eastAsia"/>
          <w:sz w:val="24"/>
        </w:rPr>
      </w:pPr>
      <w:r w:rsidRPr="00D971E0">
        <w:rPr>
          <w:rFonts w:ascii="Times New Roman" w:eastAsia="楷体" w:hAnsi="Times New Roman" w:cs="Times New Roman"/>
          <w:sz w:val="24"/>
        </w:rPr>
        <w:t xml:space="preserve">(5) </w:t>
      </w:r>
      <w:r w:rsidR="00DA6A45" w:rsidRPr="00DA6A45">
        <w:rPr>
          <w:rFonts w:ascii="Times New Roman" w:eastAsia="楷体" w:hAnsi="Times New Roman" w:cs="Times New Roman"/>
          <w:sz w:val="24"/>
        </w:rPr>
        <w:t>Xiaojun Tang; Mingzhe Ning; Yantong Zhu; Yun Zhu; Yang Xu; Si Wu; Xuebing Feng ;Association of autoantibody quantification with SLE disease activity: Comment on the Article by</w:t>
      </w:r>
      <w:r w:rsidR="00DA6A45" w:rsidRPr="00DA6A45">
        <w:rPr>
          <w:rFonts w:ascii="Times New Roman" w:eastAsia="楷体" w:hAnsi="Times New Roman" w:cs="Times New Roman" w:hint="eastAsia"/>
          <w:sz w:val="24"/>
        </w:rPr>
        <w:t xml:space="preserve">Kim et al, Arthritis &amp; Rheumatology, 2019, 71(9): 1588-1590 </w:t>
      </w:r>
    </w:p>
    <w:sectPr w:rsidR="00E1225E" w:rsidRPr="00DA6A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C50253D"/>
    <w:multiLevelType w:val="singleLevel"/>
    <w:tmpl w:val="FC50253D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0C055AA0"/>
    <w:multiLevelType w:val="hybridMultilevel"/>
    <w:tmpl w:val="0CDA8188"/>
    <w:lvl w:ilvl="0" w:tplc="7F44E3C2">
      <w:start w:val="1"/>
      <w:numFmt w:val="decimal"/>
      <w:lvlText w:val="%1）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6" w:hanging="440"/>
      </w:pPr>
    </w:lvl>
    <w:lvl w:ilvl="2" w:tplc="0409001B" w:tentative="1">
      <w:start w:val="1"/>
      <w:numFmt w:val="lowerRoman"/>
      <w:lvlText w:val="%3."/>
      <w:lvlJc w:val="right"/>
      <w:pPr>
        <w:ind w:left="1886" w:hanging="440"/>
      </w:pPr>
    </w:lvl>
    <w:lvl w:ilvl="3" w:tplc="0409000F" w:tentative="1">
      <w:start w:val="1"/>
      <w:numFmt w:val="decimal"/>
      <w:lvlText w:val="%4."/>
      <w:lvlJc w:val="left"/>
      <w:pPr>
        <w:ind w:left="2326" w:hanging="440"/>
      </w:pPr>
    </w:lvl>
    <w:lvl w:ilvl="4" w:tplc="04090019" w:tentative="1">
      <w:start w:val="1"/>
      <w:numFmt w:val="lowerLetter"/>
      <w:lvlText w:val="%5)"/>
      <w:lvlJc w:val="left"/>
      <w:pPr>
        <w:ind w:left="2766" w:hanging="440"/>
      </w:pPr>
    </w:lvl>
    <w:lvl w:ilvl="5" w:tplc="0409001B" w:tentative="1">
      <w:start w:val="1"/>
      <w:numFmt w:val="lowerRoman"/>
      <w:lvlText w:val="%6."/>
      <w:lvlJc w:val="right"/>
      <w:pPr>
        <w:ind w:left="3206" w:hanging="440"/>
      </w:pPr>
    </w:lvl>
    <w:lvl w:ilvl="6" w:tplc="0409000F" w:tentative="1">
      <w:start w:val="1"/>
      <w:numFmt w:val="decimal"/>
      <w:lvlText w:val="%7."/>
      <w:lvlJc w:val="left"/>
      <w:pPr>
        <w:ind w:left="3646" w:hanging="440"/>
      </w:pPr>
    </w:lvl>
    <w:lvl w:ilvl="7" w:tplc="04090019" w:tentative="1">
      <w:start w:val="1"/>
      <w:numFmt w:val="lowerLetter"/>
      <w:lvlText w:val="%8)"/>
      <w:lvlJc w:val="left"/>
      <w:pPr>
        <w:ind w:left="4086" w:hanging="440"/>
      </w:pPr>
    </w:lvl>
    <w:lvl w:ilvl="8" w:tplc="0409001B" w:tentative="1">
      <w:start w:val="1"/>
      <w:numFmt w:val="lowerRoman"/>
      <w:lvlText w:val="%9."/>
      <w:lvlJc w:val="right"/>
      <w:pPr>
        <w:ind w:left="4526" w:hanging="440"/>
      </w:pPr>
    </w:lvl>
  </w:abstractNum>
  <w:abstractNum w:abstractNumId="2" w15:restartNumberingAfterBreak="0">
    <w:nsid w:val="18297FCD"/>
    <w:multiLevelType w:val="hybridMultilevel"/>
    <w:tmpl w:val="9A6815AE"/>
    <w:lvl w:ilvl="0" w:tplc="D1D2033E">
      <w:start w:val="1"/>
      <w:numFmt w:val="decimal"/>
      <w:lvlText w:val="(%1)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4384531C"/>
    <w:multiLevelType w:val="hybridMultilevel"/>
    <w:tmpl w:val="50B82DEC"/>
    <w:lvl w:ilvl="0" w:tplc="7082C570">
      <w:start w:val="1"/>
      <w:numFmt w:val="decimal"/>
      <w:lvlText w:val="%1."/>
      <w:lvlJc w:val="left"/>
      <w:pPr>
        <w:ind w:left="495" w:hanging="49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859051853">
    <w:abstractNumId w:val="0"/>
  </w:num>
  <w:num w:numId="2" w16cid:durableId="135682565">
    <w:abstractNumId w:val="1"/>
  </w:num>
  <w:num w:numId="3" w16cid:durableId="256138271">
    <w:abstractNumId w:val="2"/>
  </w:num>
  <w:num w:numId="4" w16cid:durableId="11395710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I2NTYzNjY2MDU3OTg1ZDhmYjAwNTYzMDI5MjM4ZjkifQ=="/>
  </w:docVars>
  <w:rsids>
    <w:rsidRoot w:val="00E1225E"/>
    <w:rsid w:val="00654DB2"/>
    <w:rsid w:val="00D971E0"/>
    <w:rsid w:val="00DA6A45"/>
    <w:rsid w:val="00E1225E"/>
    <w:rsid w:val="2BF20B3F"/>
    <w:rsid w:val="4FD32A41"/>
    <w:rsid w:val="71FE0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84A9DD"/>
  <w15:docId w15:val="{7349C7CF-47B0-49AA-A4A6-AD2992B56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D971E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228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Simon Felix</cp:lastModifiedBy>
  <cp:revision>2</cp:revision>
  <dcterms:created xsi:type="dcterms:W3CDTF">2023-03-06T03:10:00Z</dcterms:created>
  <dcterms:modified xsi:type="dcterms:W3CDTF">2023-03-07T03:25:00Z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A6933439B3F74122B32478A6FA438663</vt:lpwstr>
  </property>
</Properties>
</file>